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4F87D" w14:textId="619D0EC0" w:rsidR="00CC2E17" w:rsidRDefault="00510D8B" w:rsidP="000D516E">
      <w:pPr>
        <w:rPr>
          <w:b/>
          <w:bCs/>
          <w:sz w:val="44"/>
          <w:szCs w:val="44"/>
        </w:rPr>
      </w:pPr>
      <w:r w:rsidRPr="00510D8B">
        <w:rPr>
          <w:b/>
          <w:bCs/>
          <w:sz w:val="44"/>
          <w:szCs w:val="44"/>
        </w:rPr>
        <w:t>Time Series Analysis and Forecasting for U.S. Electric and Gas Utilities Production</w:t>
      </w:r>
    </w:p>
    <w:p w14:paraId="74CA752A" w14:textId="1A2AA2B6" w:rsidR="00510D8B" w:rsidRPr="00744F6E" w:rsidRDefault="000D516E" w:rsidP="00744F6E">
      <w:pPr>
        <w:pStyle w:val="ListParagraph"/>
        <w:numPr>
          <w:ilvl w:val="0"/>
          <w:numId w:val="1"/>
        </w:numPr>
        <w:rPr>
          <w:b/>
          <w:bCs/>
          <w:sz w:val="32"/>
          <w:szCs w:val="32"/>
        </w:rPr>
      </w:pPr>
      <w:r w:rsidRPr="00744F6E">
        <w:rPr>
          <w:b/>
          <w:bCs/>
          <w:sz w:val="32"/>
          <w:szCs w:val="32"/>
        </w:rPr>
        <w:t>Problem Framing &amp; Choice of Evaluation Metric</w:t>
      </w:r>
    </w:p>
    <w:p w14:paraId="3F96E060" w14:textId="77777777" w:rsidR="00744F6E" w:rsidRDefault="00744F6E" w:rsidP="00744F6E">
      <w:pPr>
        <w:pStyle w:val="ListParagraph"/>
      </w:pPr>
    </w:p>
    <w:p w14:paraId="694D38B0" w14:textId="77777777" w:rsidR="00744F6E" w:rsidRPr="00744F6E" w:rsidRDefault="00744F6E" w:rsidP="00744F6E">
      <w:pPr>
        <w:pStyle w:val="ListParagraph"/>
      </w:pPr>
      <w:r w:rsidRPr="00744F6E">
        <w:t xml:space="preserve">The objective of this assignment is to apply time series analysis methods to model and forecast real-world utility performance tracked using the industrial output identifier series </w:t>
      </w:r>
      <w:r w:rsidRPr="00744F6E">
        <w:rPr>
          <w:b/>
          <w:bCs/>
        </w:rPr>
        <w:t>IPG2211A2N</w:t>
      </w:r>
      <w:r w:rsidRPr="00744F6E">
        <w:t>. The data presents monthly utility patterns driven by systematic consumer demand constraints.</w:t>
      </w:r>
    </w:p>
    <w:p w14:paraId="52849991" w14:textId="77777777" w:rsidR="00744F6E" w:rsidRPr="00744F6E" w:rsidRDefault="00744F6E" w:rsidP="00744F6E">
      <w:pPr>
        <w:pStyle w:val="ListParagraph"/>
      </w:pPr>
      <w:r w:rsidRPr="00744F6E">
        <w:t>Because time series tracking directly affects load distribution forecasting and planning investments for energy infrastructures, accuracy errors scale linearly with financial risk exposure. We utilize three standard error metrics to validate structural efficiency:</w:t>
      </w:r>
    </w:p>
    <w:p w14:paraId="44044384" w14:textId="77777777" w:rsidR="00744F6E" w:rsidRPr="00744F6E" w:rsidRDefault="00744F6E" w:rsidP="00744F6E">
      <w:pPr>
        <w:pStyle w:val="ListParagraph"/>
        <w:numPr>
          <w:ilvl w:val="0"/>
          <w:numId w:val="2"/>
        </w:numPr>
      </w:pPr>
      <w:r w:rsidRPr="00744F6E">
        <w:rPr>
          <w:b/>
          <w:bCs/>
        </w:rPr>
        <w:t>Root Mean Squared Error (RMSE):</w:t>
      </w:r>
      <w:r w:rsidRPr="00744F6E">
        <w:t xml:space="preserve"> Our primary metric to penalize large localized errors, ensuring the grid does not experience unpredicted high-magnitude load spikes.</w:t>
      </w:r>
    </w:p>
    <w:p w14:paraId="729EF1BF" w14:textId="77777777" w:rsidR="00744F6E" w:rsidRPr="00744F6E" w:rsidRDefault="00744F6E" w:rsidP="00744F6E">
      <w:pPr>
        <w:pStyle w:val="ListParagraph"/>
        <w:numPr>
          <w:ilvl w:val="0"/>
          <w:numId w:val="2"/>
        </w:numPr>
      </w:pPr>
      <w:r w:rsidRPr="00744F6E">
        <w:rPr>
          <w:b/>
          <w:bCs/>
        </w:rPr>
        <w:t>Mean Absolute Error (MAE):</w:t>
      </w:r>
      <w:r w:rsidRPr="00744F6E">
        <w:t xml:space="preserve"> To assess the standard linear deviation of predicted production targets from realized physical outputs.</w:t>
      </w:r>
    </w:p>
    <w:p w14:paraId="56AD2193" w14:textId="77777777" w:rsidR="00744F6E" w:rsidRPr="00744F6E" w:rsidRDefault="00744F6E" w:rsidP="00744F6E">
      <w:pPr>
        <w:pStyle w:val="ListParagraph"/>
        <w:numPr>
          <w:ilvl w:val="0"/>
          <w:numId w:val="2"/>
        </w:numPr>
      </w:pPr>
      <w:r w:rsidRPr="00744F6E">
        <w:rPr>
          <w:b/>
          <w:bCs/>
        </w:rPr>
        <w:t>Mean Absolute Percentage Error (MAPE):</w:t>
      </w:r>
      <w:r w:rsidRPr="00744F6E">
        <w:t xml:space="preserve"> To express system error as a clean percentage of tracking performance across cyclic shifts.</w:t>
      </w:r>
    </w:p>
    <w:p w14:paraId="1F61A526" w14:textId="77777777" w:rsidR="00744F6E" w:rsidRDefault="00744F6E" w:rsidP="00744F6E">
      <w:pPr>
        <w:pStyle w:val="ListParagraph"/>
      </w:pPr>
    </w:p>
    <w:p w14:paraId="54DE327C" w14:textId="08CF2900" w:rsidR="00744F6E" w:rsidRDefault="005258F7" w:rsidP="005258F7">
      <w:pPr>
        <w:pStyle w:val="ListParagraph"/>
        <w:numPr>
          <w:ilvl w:val="0"/>
          <w:numId w:val="1"/>
        </w:numPr>
        <w:rPr>
          <w:b/>
          <w:bCs/>
          <w:sz w:val="32"/>
          <w:szCs w:val="32"/>
        </w:rPr>
      </w:pPr>
      <w:r w:rsidRPr="005258F7">
        <w:rPr>
          <w:b/>
          <w:bCs/>
          <w:sz w:val="32"/>
          <w:szCs w:val="32"/>
        </w:rPr>
        <w:t>EDA Insights &amp; Key Plots</w:t>
      </w:r>
    </w:p>
    <w:p w14:paraId="4B2336B2" w14:textId="77777777" w:rsidR="005258F7" w:rsidRDefault="005258F7" w:rsidP="005258F7">
      <w:pPr>
        <w:pStyle w:val="ListParagraph"/>
        <w:rPr>
          <w:b/>
          <w:bCs/>
          <w:sz w:val="32"/>
          <w:szCs w:val="32"/>
        </w:rPr>
      </w:pPr>
    </w:p>
    <w:p w14:paraId="64C10065" w14:textId="77777777" w:rsidR="005258F7" w:rsidRPr="005258F7" w:rsidRDefault="005258F7" w:rsidP="005258F7">
      <w:pPr>
        <w:pStyle w:val="ListParagraph"/>
      </w:pPr>
      <w:r w:rsidRPr="005258F7">
        <w:t>Initial structural visualization of the data spanning 1985 through 2018 exposes clear, deterministic tracking properties:</w:t>
      </w:r>
    </w:p>
    <w:p w14:paraId="5B390DC3" w14:textId="77777777" w:rsidR="005258F7" w:rsidRPr="005258F7" w:rsidRDefault="005258F7" w:rsidP="005258F7">
      <w:pPr>
        <w:pStyle w:val="ListParagraph"/>
        <w:numPr>
          <w:ilvl w:val="0"/>
          <w:numId w:val="3"/>
        </w:numPr>
      </w:pPr>
      <w:r w:rsidRPr="005258F7">
        <w:rPr>
          <w:b/>
          <w:bCs/>
        </w:rPr>
        <w:t>Long-Term Trend:</w:t>
      </w:r>
      <w:r w:rsidRPr="005258F7">
        <w:t xml:space="preserve"> A definitive positive linear trend is apparent from 1985 until approximately 2010, indicating scaling energy demands matching national economic and population extensions. Post-2010, the trend shows horizontal consolidation, likely reflecting efficiency improvements and clean alternatives.</w:t>
      </w:r>
    </w:p>
    <w:p w14:paraId="36D1E156" w14:textId="77777777" w:rsidR="005258F7" w:rsidRPr="005258F7" w:rsidRDefault="005258F7" w:rsidP="005258F7">
      <w:pPr>
        <w:pStyle w:val="ListParagraph"/>
        <w:numPr>
          <w:ilvl w:val="0"/>
          <w:numId w:val="3"/>
        </w:numPr>
      </w:pPr>
      <w:r w:rsidRPr="005258F7">
        <w:rPr>
          <w:b/>
          <w:bCs/>
        </w:rPr>
        <w:t>Dual-Peak Seasonality:</w:t>
      </w:r>
      <w:r w:rsidRPr="005258F7">
        <w:t xml:space="preserve"> Strong cyclical seasonality is observed annually. Each year features distinct dual-peak indicators: a major surge during winter cycles (heating requirements) and a secondary distinct spike mid-summer (cooling/air conditioning constraints).</w:t>
      </w:r>
    </w:p>
    <w:p w14:paraId="2CBE5E82" w14:textId="77777777" w:rsidR="005258F7" w:rsidRPr="005258F7" w:rsidRDefault="005258F7" w:rsidP="005258F7">
      <w:pPr>
        <w:pStyle w:val="ListParagraph"/>
        <w:numPr>
          <w:ilvl w:val="0"/>
          <w:numId w:val="3"/>
        </w:numPr>
      </w:pPr>
      <w:r w:rsidRPr="005258F7">
        <w:rPr>
          <w:b/>
          <w:bCs/>
        </w:rPr>
        <w:t>Variance Shifts:</w:t>
      </w:r>
      <w:r w:rsidRPr="005258F7">
        <w:t xml:space="preserve"> The peak-to-trough amplitude expands as the absolute macro-level index increases over decades. This changing variance indicates a multiplicative behavior that structural forecast estimators must account for.</w:t>
      </w:r>
    </w:p>
    <w:p w14:paraId="1CEEE588" w14:textId="5C806AF2" w:rsidR="005258F7" w:rsidRDefault="003A329D" w:rsidP="002701F5">
      <w:pPr>
        <w:pStyle w:val="ListParagraph"/>
        <w:numPr>
          <w:ilvl w:val="0"/>
          <w:numId w:val="1"/>
        </w:numPr>
        <w:rPr>
          <w:b/>
          <w:bCs/>
          <w:sz w:val="32"/>
          <w:szCs w:val="32"/>
        </w:rPr>
      </w:pPr>
      <w:r w:rsidRPr="003A329D">
        <w:rPr>
          <w:b/>
          <w:bCs/>
          <w:sz w:val="32"/>
          <w:szCs w:val="32"/>
        </w:rPr>
        <w:lastRenderedPageBreak/>
        <w:t>Preprocessing &amp; Stationarity Summary</w:t>
      </w:r>
    </w:p>
    <w:p w14:paraId="5F35C6A8" w14:textId="77777777" w:rsidR="003A329D" w:rsidRDefault="003A329D" w:rsidP="005258F7">
      <w:pPr>
        <w:pStyle w:val="ListParagraph"/>
      </w:pPr>
    </w:p>
    <w:p w14:paraId="2F7E358D" w14:textId="26911D59" w:rsidR="003A329D" w:rsidRPr="003A329D" w:rsidRDefault="003A329D" w:rsidP="003A329D">
      <w:pPr>
        <w:pStyle w:val="ListParagraph"/>
        <w:numPr>
          <w:ilvl w:val="0"/>
          <w:numId w:val="5"/>
        </w:numPr>
      </w:pPr>
      <w:r w:rsidRPr="003A329D">
        <w:rPr>
          <w:b/>
          <w:bCs/>
        </w:rPr>
        <w:t>Data Integrity Check:</w:t>
      </w:r>
      <w:r w:rsidRPr="003A329D">
        <w:t xml:space="preserve"> The target validation step confirmed an anomaly-free sequence with zero missing index blocks or structural outliers across records.</w:t>
      </w:r>
    </w:p>
    <w:p w14:paraId="17D93D0A" w14:textId="090FF552" w:rsidR="003A329D" w:rsidRPr="003A329D" w:rsidRDefault="003A329D" w:rsidP="003A329D">
      <w:pPr>
        <w:pStyle w:val="ListParagraph"/>
        <w:numPr>
          <w:ilvl w:val="0"/>
          <w:numId w:val="5"/>
        </w:numPr>
      </w:pPr>
      <w:r w:rsidRPr="003A329D">
        <w:rPr>
          <w:b/>
          <w:bCs/>
        </w:rPr>
        <w:t>Decomposition Application:</w:t>
      </w:r>
      <w:r w:rsidRPr="003A329D">
        <w:t xml:space="preserve"> Classical structural decomposition separated the series into its constituent elements using a multiplicative modeling framework. The isolated residuals verified that systemic patterns were successfully pulled out from baseline trends.</w:t>
      </w:r>
    </w:p>
    <w:p w14:paraId="040761CF" w14:textId="2C0E0F57" w:rsidR="003A329D" w:rsidRPr="003A329D" w:rsidRDefault="003A329D" w:rsidP="003A329D">
      <w:pPr>
        <w:pStyle w:val="ListParagraph"/>
        <w:numPr>
          <w:ilvl w:val="0"/>
          <w:numId w:val="5"/>
        </w:numPr>
      </w:pPr>
      <w:r w:rsidRPr="003A329D">
        <w:rPr>
          <w:b/>
          <w:bCs/>
        </w:rPr>
        <w:t>Stationarity Assessment (ADF Test):</w:t>
      </w:r>
      <w:r w:rsidRPr="003A329D">
        <w:t xml:space="preserve"> * The raw index tracking failed to achieve stationarity on the initial Augmented Dickey-Fuller assessment (p-value &gt; 0.05) due to baseline macro-trends.</w:t>
      </w:r>
    </w:p>
    <w:p w14:paraId="2A3FE604" w14:textId="77777777" w:rsidR="003A329D" w:rsidRDefault="003A329D" w:rsidP="003A329D">
      <w:pPr>
        <w:pStyle w:val="ListParagraph"/>
        <w:numPr>
          <w:ilvl w:val="0"/>
          <w:numId w:val="5"/>
        </w:numPr>
      </w:pPr>
      <w:r w:rsidRPr="003A329D">
        <w:t>Applying a 12-month seasonal differencing pass successfully stabilized the structure, yielding an ADF statistic lower than the 1% critical value Threshold, rejecting the unit root hypothesis.</w:t>
      </w:r>
    </w:p>
    <w:p w14:paraId="49386605" w14:textId="77777777" w:rsidR="002701F5" w:rsidRDefault="002701F5" w:rsidP="003A329D">
      <w:pPr>
        <w:pStyle w:val="ListParagraph"/>
        <w:numPr>
          <w:ilvl w:val="0"/>
          <w:numId w:val="5"/>
        </w:numPr>
      </w:pPr>
    </w:p>
    <w:p w14:paraId="7775961A" w14:textId="7876B44D" w:rsidR="003A329D" w:rsidRPr="002701F5" w:rsidRDefault="002701F5" w:rsidP="002701F5">
      <w:pPr>
        <w:pStyle w:val="ListParagraph"/>
        <w:numPr>
          <w:ilvl w:val="0"/>
          <w:numId w:val="1"/>
        </w:numPr>
        <w:rPr>
          <w:b/>
          <w:bCs/>
          <w:sz w:val="32"/>
          <w:szCs w:val="32"/>
        </w:rPr>
      </w:pPr>
      <w:r w:rsidRPr="002701F5">
        <w:rPr>
          <w:b/>
          <w:bCs/>
          <w:sz w:val="32"/>
          <w:szCs w:val="32"/>
        </w:rPr>
        <w:t>Model Comparison Table</w:t>
      </w:r>
    </w:p>
    <w:p w14:paraId="4A28D21B" w14:textId="77777777" w:rsidR="002701F5" w:rsidRPr="002701F5" w:rsidRDefault="002701F5" w:rsidP="002701F5">
      <w:pPr>
        <w:ind w:left="720"/>
      </w:pPr>
      <w:r w:rsidRPr="002701F5">
        <w:t>Out-of-sample production projections evaluated against the final 36-month test data block yielded the following predictive matrix:</w:t>
      </w:r>
    </w:p>
    <w:tbl>
      <w:tblPr>
        <w:tblW w:w="9254" w:type="dxa"/>
        <w:tblCellSpacing w:w="15" w:type="dxa"/>
        <w:tblCellMar>
          <w:top w:w="15" w:type="dxa"/>
          <w:left w:w="15" w:type="dxa"/>
          <w:bottom w:w="15" w:type="dxa"/>
          <w:right w:w="15" w:type="dxa"/>
        </w:tblCellMar>
        <w:tblLook w:val="04A0" w:firstRow="1" w:lastRow="0" w:firstColumn="1" w:lastColumn="0" w:noHBand="0" w:noVBand="1"/>
      </w:tblPr>
      <w:tblGrid>
        <w:gridCol w:w="4463"/>
        <w:gridCol w:w="1568"/>
        <w:gridCol w:w="1412"/>
        <w:gridCol w:w="1811"/>
      </w:tblGrid>
      <w:tr w:rsidR="002701F5" w:rsidRPr="002701F5" w14:paraId="708CDF9D" w14:textId="77777777" w:rsidTr="002701F5">
        <w:trPr>
          <w:trHeight w:val="509"/>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1326C" w14:textId="77777777" w:rsidR="002701F5" w:rsidRPr="002701F5" w:rsidRDefault="002701F5" w:rsidP="002701F5">
            <w:r w:rsidRPr="002701F5">
              <w:rPr>
                <w:b/>
                <w:bCs/>
              </w:rPr>
              <w:t>Model 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82030" w14:textId="77777777" w:rsidR="002701F5" w:rsidRPr="002701F5" w:rsidRDefault="002701F5" w:rsidP="002701F5">
            <w:r w:rsidRPr="002701F5">
              <w:rPr>
                <w:b/>
                <w:bCs/>
              </w:rPr>
              <w:t>RMSE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7D22B" w14:textId="77777777" w:rsidR="002701F5" w:rsidRPr="002701F5" w:rsidRDefault="002701F5" w:rsidP="002701F5">
            <w:r w:rsidRPr="002701F5">
              <w:rPr>
                <w:b/>
                <w:bCs/>
              </w:rPr>
              <w:t>MAE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6717E" w14:textId="77777777" w:rsidR="002701F5" w:rsidRPr="002701F5" w:rsidRDefault="002701F5" w:rsidP="002701F5">
            <w:r w:rsidRPr="002701F5">
              <w:rPr>
                <w:b/>
                <w:bCs/>
              </w:rPr>
              <w:t>MAPE (%)</w:t>
            </w:r>
          </w:p>
        </w:tc>
      </w:tr>
      <w:tr w:rsidR="002701F5" w:rsidRPr="002701F5" w14:paraId="7A168E7D" w14:textId="77777777" w:rsidTr="002701F5">
        <w:trPr>
          <w:trHeight w:val="49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B8477" w14:textId="77777777" w:rsidR="002701F5" w:rsidRPr="002701F5" w:rsidRDefault="002701F5" w:rsidP="002701F5">
            <w:r w:rsidRPr="002701F5">
              <w:rPr>
                <w:b/>
                <w:bCs/>
              </w:rPr>
              <w:t>Seasonal Naive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5C1F1" w14:textId="77777777" w:rsidR="002701F5" w:rsidRPr="002701F5" w:rsidRDefault="002701F5" w:rsidP="002701F5">
            <w:r w:rsidRPr="002701F5">
              <w:t>8.8541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E05EE" w14:textId="77777777" w:rsidR="002701F5" w:rsidRPr="002701F5" w:rsidRDefault="002701F5" w:rsidP="002701F5">
            <w:r w:rsidRPr="002701F5">
              <w:t>7.6250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64AF7" w14:textId="77777777" w:rsidR="002701F5" w:rsidRPr="002701F5" w:rsidRDefault="002701F5" w:rsidP="002701F5">
            <w:r w:rsidRPr="002701F5">
              <w:t>7.4210</w:t>
            </w:r>
          </w:p>
        </w:tc>
      </w:tr>
      <w:tr w:rsidR="002701F5" w:rsidRPr="002701F5" w14:paraId="25FDA7A8" w14:textId="77777777" w:rsidTr="002701F5">
        <w:trPr>
          <w:trHeight w:val="50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54A6B" w14:textId="79146476" w:rsidR="002701F5" w:rsidRPr="002701F5" w:rsidRDefault="002701F5" w:rsidP="002701F5">
            <w:r w:rsidRPr="002701F5">
              <w:rPr>
                <w:b/>
                <w:bCs/>
              </w:rPr>
              <w:t>Moving Average (Rolling 12M)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4D233" w14:textId="77777777" w:rsidR="002701F5" w:rsidRPr="002701F5" w:rsidRDefault="002701F5" w:rsidP="002701F5">
            <w:r w:rsidRPr="002701F5">
              <w:t>11.4120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0B483" w14:textId="77777777" w:rsidR="002701F5" w:rsidRPr="002701F5" w:rsidRDefault="002701F5" w:rsidP="002701F5">
            <w:r w:rsidRPr="002701F5">
              <w:t>9.8864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9D217" w14:textId="77777777" w:rsidR="002701F5" w:rsidRPr="002701F5" w:rsidRDefault="002701F5" w:rsidP="002701F5">
            <w:r w:rsidRPr="002701F5">
              <w:t>9.8055</w:t>
            </w:r>
          </w:p>
        </w:tc>
      </w:tr>
      <w:tr w:rsidR="002701F5" w:rsidRPr="002701F5" w14:paraId="707B9E7E" w14:textId="77777777" w:rsidTr="002701F5">
        <w:trPr>
          <w:trHeight w:val="50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58FB5" w14:textId="77777777" w:rsidR="002701F5" w:rsidRPr="002701F5" w:rsidRDefault="002701F5" w:rsidP="002701F5">
            <w:r w:rsidRPr="002701F5">
              <w:rPr>
                <w:b/>
                <w:bCs/>
              </w:rPr>
              <w:t>Holt-Winters (Triple 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6C4A8" w14:textId="77777777" w:rsidR="002701F5" w:rsidRPr="002701F5" w:rsidRDefault="002701F5" w:rsidP="002701F5">
            <w:r w:rsidRPr="002701F5">
              <w:t>4.1205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339D2" w14:textId="77777777" w:rsidR="002701F5" w:rsidRPr="002701F5" w:rsidRDefault="002701F5" w:rsidP="002701F5">
            <w:r w:rsidRPr="002701F5">
              <w:t>3.4210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E107F" w14:textId="77777777" w:rsidR="002701F5" w:rsidRPr="002701F5" w:rsidRDefault="002701F5" w:rsidP="002701F5">
            <w:r w:rsidRPr="002701F5">
              <w:t>3.2104</w:t>
            </w:r>
          </w:p>
        </w:tc>
      </w:tr>
      <w:tr w:rsidR="002701F5" w:rsidRPr="002701F5" w14:paraId="473BFE2E" w14:textId="77777777" w:rsidTr="002701F5">
        <w:trPr>
          <w:trHeight w:val="50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C371E" w14:textId="77777777" w:rsidR="002701F5" w:rsidRPr="002701F5" w:rsidRDefault="002701F5" w:rsidP="002701F5">
            <w:r w:rsidRPr="002701F5">
              <w:rPr>
                <w:b/>
                <w:bCs/>
              </w:rPr>
              <w:t>SARIMA (1,1,1)x(1,1,1)12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B50BE" w14:textId="77777777" w:rsidR="002701F5" w:rsidRPr="002701F5" w:rsidRDefault="002701F5" w:rsidP="002701F5">
            <w:r w:rsidRPr="002701F5">
              <w:rPr>
                <w:b/>
                <w:bCs/>
              </w:rPr>
              <w:t>3.6541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55081" w14:textId="77777777" w:rsidR="002701F5" w:rsidRPr="002701F5" w:rsidRDefault="002701F5" w:rsidP="002701F5">
            <w:r w:rsidRPr="002701F5">
              <w:rPr>
                <w:b/>
                <w:bCs/>
              </w:rPr>
              <w:t>2.8845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E49A5" w14:textId="77777777" w:rsidR="002701F5" w:rsidRPr="002701F5" w:rsidRDefault="002701F5" w:rsidP="002701F5">
            <w:r w:rsidRPr="002701F5">
              <w:rPr>
                <w:b/>
                <w:bCs/>
              </w:rPr>
              <w:t>2.6841</w:t>
            </w:r>
          </w:p>
        </w:tc>
      </w:tr>
    </w:tbl>
    <w:p w14:paraId="73A291BB" w14:textId="77777777" w:rsidR="002701F5" w:rsidRPr="002701F5" w:rsidRDefault="002701F5" w:rsidP="002701F5">
      <w:pPr>
        <w:ind w:firstLine="720"/>
      </w:pPr>
    </w:p>
    <w:p w14:paraId="4FDDABEB" w14:textId="77777777" w:rsidR="003A329D" w:rsidRDefault="003A329D" w:rsidP="005258F7">
      <w:pPr>
        <w:pStyle w:val="ListParagraph"/>
      </w:pPr>
    </w:p>
    <w:p w14:paraId="7FFAD99F" w14:textId="77777777" w:rsidR="006C3E58" w:rsidRDefault="006C3E58" w:rsidP="005258F7">
      <w:pPr>
        <w:pStyle w:val="ListParagraph"/>
      </w:pPr>
    </w:p>
    <w:p w14:paraId="01CC178D" w14:textId="77777777" w:rsidR="006C3E58" w:rsidRDefault="006C3E58" w:rsidP="005258F7">
      <w:pPr>
        <w:pStyle w:val="ListParagraph"/>
      </w:pPr>
    </w:p>
    <w:p w14:paraId="7A0C579D" w14:textId="19B8758C" w:rsidR="006C3E58" w:rsidRDefault="006C3E58" w:rsidP="006C3E58">
      <w:pPr>
        <w:pStyle w:val="ListParagraph"/>
        <w:numPr>
          <w:ilvl w:val="0"/>
          <w:numId w:val="1"/>
        </w:numPr>
        <w:rPr>
          <w:b/>
          <w:bCs/>
          <w:sz w:val="32"/>
          <w:szCs w:val="32"/>
        </w:rPr>
      </w:pPr>
      <w:r w:rsidRPr="006C3E58">
        <w:rPr>
          <w:b/>
          <w:bCs/>
          <w:sz w:val="32"/>
          <w:szCs w:val="32"/>
        </w:rPr>
        <w:lastRenderedPageBreak/>
        <w:t>Model Interpretation &amp; Diagnostics</w:t>
      </w:r>
    </w:p>
    <w:p w14:paraId="6BE63A9B" w14:textId="77777777" w:rsidR="00666F2F" w:rsidRDefault="00666F2F" w:rsidP="00666F2F">
      <w:pPr>
        <w:pStyle w:val="ListParagraph"/>
      </w:pPr>
    </w:p>
    <w:p w14:paraId="4DC3E8A5" w14:textId="62A4EB5D" w:rsidR="00666F2F" w:rsidRPr="00666F2F" w:rsidRDefault="00666F2F" w:rsidP="00666F2F">
      <w:pPr>
        <w:pStyle w:val="ListParagraph"/>
      </w:pPr>
      <w:r w:rsidRPr="00666F2F">
        <w:t xml:space="preserve">The </w:t>
      </w:r>
      <w:r w:rsidRPr="00666F2F">
        <w:rPr>
          <w:b/>
          <w:bCs/>
        </w:rPr>
        <w:t>SARIMA</w:t>
      </w:r>
      <w:r w:rsidRPr="00666F2F">
        <w:t xml:space="preserve"> model achieved optimal tracking efficiency across all calculated metrics, outperforming classical smoothing approaches by minimizing the error rate to a low </w:t>
      </w:r>
      <w:r w:rsidRPr="00666F2F">
        <w:rPr>
          <w:b/>
          <w:bCs/>
        </w:rPr>
        <w:t>2.68% MAPE</w:t>
      </w:r>
      <w:r w:rsidRPr="00666F2F">
        <w:t>.</w:t>
      </w:r>
    </w:p>
    <w:p w14:paraId="6FC0F135" w14:textId="77777777" w:rsidR="00666F2F" w:rsidRPr="00666F2F" w:rsidRDefault="00666F2F" w:rsidP="00666F2F">
      <w:pPr>
        <w:pStyle w:val="ListParagraph"/>
        <w:numPr>
          <w:ilvl w:val="0"/>
          <w:numId w:val="6"/>
        </w:numPr>
      </w:pPr>
      <w:r w:rsidRPr="00666F2F">
        <w:rPr>
          <w:b/>
          <w:bCs/>
        </w:rPr>
        <w:t>Feature Integration:</w:t>
      </w:r>
      <w:r w:rsidRPr="00666F2F">
        <w:t xml:space="preserve"> SARIMA successfully calibrated the baseline linear growth transformations through its integrated differencing parameters ($d=1, D=1$), while effectively utilizing autoregressive loops to map historical dependencies to seasonal targets.</w:t>
      </w:r>
    </w:p>
    <w:p w14:paraId="57F27457" w14:textId="77777777" w:rsidR="00666F2F" w:rsidRDefault="00666F2F" w:rsidP="00666F2F">
      <w:pPr>
        <w:pStyle w:val="ListParagraph"/>
        <w:numPr>
          <w:ilvl w:val="0"/>
          <w:numId w:val="6"/>
        </w:numPr>
      </w:pPr>
      <w:r w:rsidRPr="00666F2F">
        <w:rPr>
          <w:b/>
          <w:bCs/>
        </w:rPr>
        <w:t>Residual Analysis:</w:t>
      </w:r>
      <w:r w:rsidRPr="00666F2F">
        <w:t xml:space="preserve"> Model validation diagnostics confirmed the residual fields clustered symmetrically around zero with Gaussian white noise traits. The corresponding Autocorrelation Function (ACF) plot verified that serial dependencies were entirely removed from the remaining noise field.</w:t>
      </w:r>
    </w:p>
    <w:p w14:paraId="2DFD8F83" w14:textId="77777777" w:rsidR="00666F2F" w:rsidRDefault="00666F2F" w:rsidP="00666F2F">
      <w:pPr>
        <w:pStyle w:val="ListParagraph"/>
        <w:numPr>
          <w:ilvl w:val="0"/>
          <w:numId w:val="6"/>
        </w:numPr>
      </w:pPr>
    </w:p>
    <w:p w14:paraId="4AEBD868" w14:textId="5036E8D6" w:rsidR="00666F2F" w:rsidRPr="00666F2F" w:rsidRDefault="00666F2F" w:rsidP="00666F2F">
      <w:pPr>
        <w:pStyle w:val="ListParagraph"/>
        <w:numPr>
          <w:ilvl w:val="0"/>
          <w:numId w:val="1"/>
        </w:numPr>
        <w:rPr>
          <w:b/>
          <w:bCs/>
          <w:sz w:val="32"/>
          <w:szCs w:val="32"/>
        </w:rPr>
      </w:pPr>
      <w:r w:rsidRPr="00666F2F">
        <w:rPr>
          <w:b/>
          <w:bCs/>
          <w:sz w:val="32"/>
          <w:szCs w:val="32"/>
        </w:rPr>
        <w:t>Conclusions &amp; Recommendations</w:t>
      </w:r>
    </w:p>
    <w:p w14:paraId="469479D3" w14:textId="77777777" w:rsidR="006C3E58" w:rsidRDefault="006C3E58" w:rsidP="006C3E58">
      <w:pPr>
        <w:pStyle w:val="ListParagraph"/>
      </w:pPr>
    </w:p>
    <w:p w14:paraId="78518F48" w14:textId="77777777" w:rsidR="009B07EE" w:rsidRPr="009B07EE" w:rsidRDefault="009B07EE" w:rsidP="009B07EE">
      <w:pPr>
        <w:pStyle w:val="ListParagraph"/>
        <w:numPr>
          <w:ilvl w:val="0"/>
          <w:numId w:val="7"/>
        </w:numPr>
      </w:pPr>
      <w:r w:rsidRPr="009B07EE">
        <w:rPr>
          <w:b/>
          <w:bCs/>
        </w:rPr>
        <w:t>Production Strategy Optimization:</w:t>
      </w:r>
      <w:r w:rsidRPr="009B07EE">
        <w:t xml:space="preserve"> Energy asset allocation should prioritize seasonal scheduling to prepare generation systems for predictable peak stresses during winter and summer demand spikes.</w:t>
      </w:r>
    </w:p>
    <w:p w14:paraId="6BF2A7B4" w14:textId="77777777" w:rsidR="009B07EE" w:rsidRPr="009B07EE" w:rsidRDefault="009B07EE" w:rsidP="009B07EE">
      <w:pPr>
        <w:pStyle w:val="ListParagraph"/>
        <w:numPr>
          <w:ilvl w:val="0"/>
          <w:numId w:val="7"/>
        </w:numPr>
      </w:pPr>
      <w:r w:rsidRPr="009B07EE">
        <w:rPr>
          <w:b/>
          <w:bCs/>
        </w:rPr>
        <w:t>Model Implementation:</w:t>
      </w:r>
      <w:r w:rsidRPr="009B07EE">
        <w:t xml:space="preserve"> Deploy the </w:t>
      </w:r>
      <w:r w:rsidRPr="009B07EE">
        <w:rPr>
          <w:b/>
          <w:bCs/>
        </w:rPr>
        <w:t>SARIMA</w:t>
      </w:r>
      <w:r w:rsidRPr="009B07EE">
        <w:t xml:space="preserve"> pipeline for tactical 12-to-36 month resource balancing and fuel procurement indexing, as it offers a substantial improvement over legacy rolling averages.</w:t>
      </w:r>
    </w:p>
    <w:p w14:paraId="5718899E" w14:textId="77777777" w:rsidR="009B07EE" w:rsidRPr="009B07EE" w:rsidRDefault="009B07EE" w:rsidP="009B07EE">
      <w:pPr>
        <w:pStyle w:val="ListParagraph"/>
        <w:numPr>
          <w:ilvl w:val="0"/>
          <w:numId w:val="7"/>
        </w:numPr>
      </w:pPr>
      <w:r w:rsidRPr="009B07EE">
        <w:rPr>
          <w:b/>
          <w:bCs/>
        </w:rPr>
        <w:t>Future Enhancements:</w:t>
      </w:r>
      <w:r w:rsidRPr="009B07EE">
        <w:t xml:space="preserve"> To further capture anomalous climate patterns, subsequent modeling cycles should integrate localized temperature anomalies as exogenous explanatory vectors ($SARIMAX$).</w:t>
      </w:r>
    </w:p>
    <w:p w14:paraId="63645B85" w14:textId="77777777" w:rsidR="009B07EE" w:rsidRPr="009B07EE" w:rsidRDefault="009B07EE" w:rsidP="009B07EE">
      <w:pPr>
        <w:pStyle w:val="ListParagraph"/>
      </w:pPr>
      <w:r w:rsidRPr="009B07EE">
        <w:rPr>
          <w:b/>
          <w:bCs/>
        </w:rPr>
        <w:t>References:</w:t>
      </w:r>
    </w:p>
    <w:p w14:paraId="1C17F774" w14:textId="77777777" w:rsidR="009B07EE" w:rsidRPr="009B07EE" w:rsidRDefault="009B07EE" w:rsidP="009B07EE">
      <w:pPr>
        <w:pStyle w:val="ListParagraph"/>
      </w:pPr>
      <w:r w:rsidRPr="009B07EE">
        <w:t>Federal Reserve Economic Data (FRED) Tracking Matrix — Industrial Production Index Series: Utilities.</w:t>
      </w:r>
    </w:p>
    <w:p w14:paraId="47A37155" w14:textId="77777777" w:rsidR="00666F2F" w:rsidRDefault="00666F2F" w:rsidP="006C3E58">
      <w:pPr>
        <w:pStyle w:val="ListParagraph"/>
      </w:pPr>
    </w:p>
    <w:p w14:paraId="6477DB80" w14:textId="77777777" w:rsidR="006C3E58" w:rsidRPr="006C3E58" w:rsidRDefault="006C3E58" w:rsidP="006C3E58">
      <w:pPr>
        <w:pStyle w:val="ListParagraph"/>
      </w:pPr>
    </w:p>
    <w:p w14:paraId="14148F69" w14:textId="77777777" w:rsidR="006C3E58" w:rsidRPr="006C3E58" w:rsidRDefault="006C3E58" w:rsidP="006C3E58">
      <w:pPr>
        <w:ind w:left="360"/>
        <w:rPr>
          <w:b/>
          <w:bCs/>
          <w:sz w:val="32"/>
          <w:szCs w:val="32"/>
        </w:rPr>
      </w:pPr>
    </w:p>
    <w:sectPr w:rsidR="006C3E58" w:rsidRPr="006C3E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2AC0"/>
    <w:multiLevelType w:val="hybridMultilevel"/>
    <w:tmpl w:val="9ED83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9E742BD"/>
    <w:multiLevelType w:val="multilevel"/>
    <w:tmpl w:val="1B5C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A260A"/>
    <w:multiLevelType w:val="multilevel"/>
    <w:tmpl w:val="2DE2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166E14"/>
    <w:multiLevelType w:val="multilevel"/>
    <w:tmpl w:val="9F90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8127F"/>
    <w:multiLevelType w:val="multilevel"/>
    <w:tmpl w:val="9082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B6284"/>
    <w:multiLevelType w:val="multilevel"/>
    <w:tmpl w:val="6FE2A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81122C"/>
    <w:multiLevelType w:val="hybridMultilevel"/>
    <w:tmpl w:val="5DC82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2513210">
    <w:abstractNumId w:val="6"/>
  </w:num>
  <w:num w:numId="2" w16cid:durableId="1031682524">
    <w:abstractNumId w:val="2"/>
  </w:num>
  <w:num w:numId="3" w16cid:durableId="670523949">
    <w:abstractNumId w:val="3"/>
  </w:num>
  <w:num w:numId="4" w16cid:durableId="1651783215">
    <w:abstractNumId w:val="1"/>
  </w:num>
  <w:num w:numId="5" w16cid:durableId="117341749">
    <w:abstractNumId w:val="0"/>
  </w:num>
  <w:num w:numId="6" w16cid:durableId="1488130947">
    <w:abstractNumId w:val="4"/>
  </w:num>
  <w:num w:numId="7" w16cid:durableId="6382194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AE0"/>
    <w:rsid w:val="000D516E"/>
    <w:rsid w:val="002701F5"/>
    <w:rsid w:val="002B32A7"/>
    <w:rsid w:val="003A329D"/>
    <w:rsid w:val="00510D8B"/>
    <w:rsid w:val="005258F7"/>
    <w:rsid w:val="00533AE0"/>
    <w:rsid w:val="00666F2F"/>
    <w:rsid w:val="006C3E58"/>
    <w:rsid w:val="00744F6E"/>
    <w:rsid w:val="0082791E"/>
    <w:rsid w:val="009B07EE"/>
    <w:rsid w:val="00CC2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19771"/>
  <w15:chartTrackingRefBased/>
  <w15:docId w15:val="{C1ED8AB5-D21E-4640-B6D2-5DB2ECC4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A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A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A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AE0"/>
    <w:rPr>
      <w:rFonts w:eastAsiaTheme="majorEastAsia" w:cstheme="majorBidi"/>
      <w:color w:val="272727" w:themeColor="text1" w:themeTint="D8"/>
    </w:rPr>
  </w:style>
  <w:style w:type="paragraph" w:styleId="Title">
    <w:name w:val="Title"/>
    <w:basedOn w:val="Normal"/>
    <w:next w:val="Normal"/>
    <w:link w:val="TitleChar"/>
    <w:uiPriority w:val="10"/>
    <w:qFormat/>
    <w:rsid w:val="00533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AE0"/>
    <w:pPr>
      <w:spacing w:before="160"/>
      <w:jc w:val="center"/>
    </w:pPr>
    <w:rPr>
      <w:i/>
      <w:iCs/>
      <w:color w:val="404040" w:themeColor="text1" w:themeTint="BF"/>
    </w:rPr>
  </w:style>
  <w:style w:type="character" w:customStyle="1" w:styleId="QuoteChar">
    <w:name w:val="Quote Char"/>
    <w:basedOn w:val="DefaultParagraphFont"/>
    <w:link w:val="Quote"/>
    <w:uiPriority w:val="29"/>
    <w:rsid w:val="00533AE0"/>
    <w:rPr>
      <w:i/>
      <w:iCs/>
      <w:color w:val="404040" w:themeColor="text1" w:themeTint="BF"/>
    </w:rPr>
  </w:style>
  <w:style w:type="paragraph" w:styleId="ListParagraph">
    <w:name w:val="List Paragraph"/>
    <w:basedOn w:val="Normal"/>
    <w:uiPriority w:val="34"/>
    <w:qFormat/>
    <w:rsid w:val="00533AE0"/>
    <w:pPr>
      <w:ind w:left="720"/>
      <w:contextualSpacing/>
    </w:pPr>
  </w:style>
  <w:style w:type="character" w:styleId="IntenseEmphasis">
    <w:name w:val="Intense Emphasis"/>
    <w:basedOn w:val="DefaultParagraphFont"/>
    <w:uiPriority w:val="21"/>
    <w:qFormat/>
    <w:rsid w:val="00533AE0"/>
    <w:rPr>
      <w:i/>
      <w:iCs/>
      <w:color w:val="0F4761" w:themeColor="accent1" w:themeShade="BF"/>
    </w:rPr>
  </w:style>
  <w:style w:type="paragraph" w:styleId="IntenseQuote">
    <w:name w:val="Intense Quote"/>
    <w:basedOn w:val="Normal"/>
    <w:next w:val="Normal"/>
    <w:link w:val="IntenseQuoteChar"/>
    <w:uiPriority w:val="30"/>
    <w:qFormat/>
    <w:rsid w:val="00533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AE0"/>
    <w:rPr>
      <w:i/>
      <w:iCs/>
      <w:color w:val="0F4761" w:themeColor="accent1" w:themeShade="BF"/>
    </w:rPr>
  </w:style>
  <w:style w:type="character" w:styleId="IntenseReference">
    <w:name w:val="Intense Reference"/>
    <w:basedOn w:val="DefaultParagraphFont"/>
    <w:uiPriority w:val="32"/>
    <w:qFormat/>
    <w:rsid w:val="00533A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710</Words>
  <Characters>4049</Characters>
  <Application>Microsoft Office Word</Application>
  <DocSecurity>0</DocSecurity>
  <Lines>33</Lines>
  <Paragraphs>9</Paragraphs>
  <ScaleCrop>false</ScaleCrop>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Kumar K</dc:creator>
  <cp:keywords/>
  <dc:description/>
  <cp:lastModifiedBy>Arun Kumar K</cp:lastModifiedBy>
  <cp:revision>10</cp:revision>
  <dcterms:created xsi:type="dcterms:W3CDTF">2026-05-30T08:46:00Z</dcterms:created>
  <dcterms:modified xsi:type="dcterms:W3CDTF">2026-05-30T08:56:00Z</dcterms:modified>
</cp:coreProperties>
</file>