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84C78"/>
          <w:sz w:val="48"/>
        </w:rPr>
        <w:t>Agent Integrity Shield (AIS)</w:t>
      </w:r>
    </w:p>
    <w:p>
      <w:pPr>
        <w:spacing w:after="280"/>
        <w:jc w:val="center"/>
      </w:pPr>
      <w:r>
        <w:rPr>
          <w:rFonts w:ascii="Calibri" w:hAnsi="Calibri"/>
          <w:color w:val="2980B9"/>
          <w:sz w:val="26"/>
        </w:rPr>
        <w:t>System Architecture &amp; Trajectory Simulation Pipeline Report</w:t>
      </w:r>
    </w:p>
    <w:tbl>
      <w:tblPr>
        <w:tblW w:type="auto" w:w="0"/>
        <w:jc w:val="center"/>
        <w:tblLook w:firstColumn="1" w:firstRow="1" w:lastColumn="0" w:lastRow="0" w:noHBand="0" w:noVBand="1" w:val="04A0"/>
      </w:tblPr>
      <w:tblGrid>
        <w:gridCol w:w="4680"/>
        <w:gridCol w:w="4680"/>
      </w:tblGrid>
      <w:tr>
        <w:tc>
          <w:tcPr>
            <w:tcW w:type="dxa" w:w="3168"/>
            <w:shd w:fill="F4F6F7"/>
            <w:tcMar>
              <w:top w:w="100" w:type="dxa"/>
              <w:bottom w:w="100" w:type="dxa"/>
              <w:left w:w="140" w:type="dxa"/>
              <w:right w:w="140" w:type="dxa"/>
            </w:tcMar>
          </w:tcPr>
          <w:p>
            <w:pPr>
              <w:spacing w:after="20"/>
            </w:pPr>
            <w:r>
              <w:rPr>
                <w:rFonts w:ascii="Calibri" w:hAnsi="Calibri"/>
                <w:b/>
                <w:color w:val="184C78"/>
                <w:sz w:val="20"/>
              </w:rPr>
              <w:t>Project Title</w:t>
            </w:r>
          </w:p>
        </w:tc>
        <w:tc>
          <w:tcPr>
            <w:tcW w:type="dxa" w:w="6192"/>
            <w:shd w:fill="FAFAFA"/>
            <w:tcMar>
              <w:top w:w="100" w:type="dxa"/>
              <w:bottom w:w="100" w:type="dxa"/>
              <w:left w:w="140" w:type="dxa"/>
              <w:right w:w="140" w:type="dxa"/>
            </w:tcMar>
          </w:tcPr>
          <w:p>
            <w:pPr>
              <w:spacing w:after="20"/>
            </w:pPr>
            <w:r>
              <w:rPr>
                <w:rFonts w:ascii="Calibri" w:hAnsi="Calibri"/>
                <w:color w:val="2C3E50"/>
                <w:sz w:val="20"/>
              </w:rPr>
              <w:t>Agent Integrity Shield (AIS)</w:t>
            </w:r>
          </w:p>
        </w:tc>
      </w:tr>
      <w:tr>
        <w:tc>
          <w:tcPr>
            <w:tcW w:type="dxa" w:w="3168"/>
            <w:shd w:fill="F4F6F7"/>
            <w:tcMar>
              <w:top w:w="100" w:type="dxa"/>
              <w:bottom w:w="100" w:type="dxa"/>
              <w:left w:w="140" w:type="dxa"/>
              <w:right w:w="140" w:type="dxa"/>
            </w:tcMar>
          </w:tcPr>
          <w:p>
            <w:pPr>
              <w:spacing w:after="20"/>
            </w:pPr>
            <w:r>
              <w:rPr>
                <w:rFonts w:ascii="Calibri" w:hAnsi="Calibri"/>
                <w:b/>
                <w:color w:val="184C78"/>
                <w:sz w:val="20"/>
              </w:rPr>
              <w:t>Scope &amp; Module</w:t>
            </w:r>
          </w:p>
        </w:tc>
        <w:tc>
          <w:tcPr>
            <w:tcW w:type="dxa" w:w="6192"/>
            <w:shd w:fill="FAFAFA"/>
            <w:tcMar>
              <w:top w:w="100" w:type="dxa"/>
              <w:bottom w:w="100" w:type="dxa"/>
              <w:left w:w="140" w:type="dxa"/>
              <w:right w:w="140" w:type="dxa"/>
            </w:tcMar>
          </w:tcPr>
          <w:p>
            <w:pPr>
              <w:spacing w:after="20"/>
            </w:pPr>
            <w:r>
              <w:rPr>
                <w:rFonts w:ascii="Calibri" w:hAnsi="Calibri"/>
                <w:color w:val="2C3E50"/>
                <w:sz w:val="20"/>
              </w:rPr>
              <w:t>Benchmark Trajectory Simulation, Strategy Harness &amp; Interactive CLI</w:t>
            </w:r>
          </w:p>
        </w:tc>
      </w:tr>
      <w:tr>
        <w:tc>
          <w:tcPr>
            <w:tcW w:type="dxa" w:w="3168"/>
            <w:shd w:fill="F4F6F7"/>
            <w:tcMar>
              <w:top w:w="100" w:type="dxa"/>
              <w:bottom w:w="100" w:type="dxa"/>
              <w:left w:w="140" w:type="dxa"/>
              <w:right w:w="140" w:type="dxa"/>
            </w:tcMar>
          </w:tcPr>
          <w:p>
            <w:pPr>
              <w:spacing w:after="20"/>
            </w:pPr>
            <w:r>
              <w:rPr>
                <w:rFonts w:ascii="Calibri" w:hAnsi="Calibri"/>
                <w:b/>
                <w:color w:val="184C78"/>
                <w:sz w:val="20"/>
              </w:rPr>
              <w:t>Locked Domains</w:t>
            </w:r>
          </w:p>
        </w:tc>
        <w:tc>
          <w:tcPr>
            <w:tcW w:type="dxa" w:w="6192"/>
            <w:shd w:fill="FAFAFA"/>
            <w:tcMar>
              <w:top w:w="100" w:type="dxa"/>
              <w:bottom w:w="100" w:type="dxa"/>
              <w:left w:w="140" w:type="dxa"/>
              <w:right w:w="140" w:type="dxa"/>
            </w:tcMar>
          </w:tcPr>
          <w:p>
            <w:pPr>
              <w:spacing w:after="20"/>
            </w:pPr>
            <w:r>
              <w:rPr>
                <w:rFonts w:ascii="Calibri" w:hAnsi="Calibri"/>
                <w:color w:val="2C3E50"/>
                <w:sz w:val="20"/>
              </w:rPr>
              <w:t>file_operations, financial_transactions, communication</w:t>
            </w:r>
          </w:p>
        </w:tc>
      </w:tr>
      <w:tr>
        <w:tc>
          <w:tcPr>
            <w:tcW w:type="dxa" w:w="3168"/>
            <w:shd w:fill="F4F6F7"/>
            <w:tcMar>
              <w:top w:w="100" w:type="dxa"/>
              <w:bottom w:w="100" w:type="dxa"/>
              <w:left w:w="140" w:type="dxa"/>
              <w:right w:w="140" w:type="dxa"/>
            </w:tcMar>
          </w:tcPr>
          <w:p>
            <w:pPr>
              <w:spacing w:after="20"/>
            </w:pPr>
            <w:r>
              <w:rPr>
                <w:rFonts w:ascii="Calibri" w:hAnsi="Calibri"/>
                <w:b/>
                <w:color w:val="184C78"/>
                <w:sz w:val="20"/>
              </w:rPr>
              <w:t>Status</w:t>
            </w:r>
          </w:p>
        </w:tc>
        <w:tc>
          <w:tcPr>
            <w:tcW w:type="dxa" w:w="6192"/>
            <w:shd w:fill="FAFAFA"/>
            <w:tcMar>
              <w:top w:w="100" w:type="dxa"/>
              <w:bottom w:w="100" w:type="dxa"/>
              <w:left w:w="140" w:type="dxa"/>
              <w:right w:w="140" w:type="dxa"/>
            </w:tcMar>
          </w:tcPr>
          <w:p>
            <w:pPr>
              <w:spacing w:after="20"/>
            </w:pPr>
            <w:r>
              <w:rPr>
                <w:rFonts w:ascii="Calibri" w:hAnsi="Calibri"/>
                <w:color w:val="2C3E50"/>
                <w:sz w:val="20"/>
              </w:rPr>
              <w:t>Completed, Validated &amp; Synchronized to GitHub</w:t>
            </w:r>
          </w:p>
        </w:tc>
      </w:tr>
    </w:tbl>
    <w:p/>
    <w:p>
      <w:pPr>
        <w:keepNext/>
        <w:spacing w:before="320" w:after="120"/>
      </w:pPr>
      <w:r>
        <w:rPr>
          <w:rFonts w:ascii="Calibri" w:hAnsi="Calibri"/>
          <w:b/>
          <w:color w:val="184C78"/>
          <w:sz w:val="26"/>
        </w:rPr>
        <w:t>STAGE 1: DATA FOUNDATION &amp; SCHEMA NORMALIZATION</w:t>
      </w:r>
    </w:p>
    <w:p>
      <w:pPr>
        <w:pStyle w:val="ListBullet"/>
        <w:spacing w:after="60" w:line="276" w:lineRule="auto"/>
      </w:pPr>
      <w:r>
        <w:rPr>
          <w:rFonts w:ascii="Calibri" w:hAnsi="Calibri"/>
          <w:b/>
          <w:color w:val="2C3E50"/>
          <w:sz w:val="21"/>
        </w:rPr>
        <w:t>1. Raw Benchmarks:</w:t>
      </w:r>
      <w:r>
        <w:rPr>
          <w:rFonts w:ascii="Calibri" w:hAnsi="Calibri"/>
          <w:color w:val="2C3E50"/>
          <w:sz w:val="21"/>
        </w:rPr>
        <w:t xml:space="preserve"> Official ToolEmu repository assets (144 curated risk cases, 38 toolkits). Full data provenance verified with SHA-256 cryptographic hashes in scripts/download_toolemu.py.</w:t>
      </w:r>
    </w:p>
    <w:p>
      <w:pPr>
        <w:pStyle w:val="ListBullet"/>
        <w:spacing w:after="60" w:line="276" w:lineRule="auto"/>
      </w:pPr>
      <w:r>
        <w:rPr>
          <w:rFonts w:ascii="Calibri" w:hAnsi="Calibri"/>
          <w:b/>
          <w:color w:val="2C3E50"/>
          <w:sz w:val="21"/>
        </w:rPr>
        <w:t>2. Domain Specialization (3 Locked Domains):</w:t>
      </w:r>
      <w:r>
        <w:rPr>
          <w:rFonts w:ascii="Calibri" w:hAnsi="Calibri"/>
          <w:color w:val="2C3E50"/>
          <w:sz w:val="21"/>
        </w:rPr>
        <w:t xml:space="preserve"> Strictly filtered and normalized to critical enterprise operational domains:</w:t>
      </w:r>
    </w:p>
    <w:p>
      <w:pPr>
        <w:pStyle w:val="ListBullet"/>
        <w:spacing w:after="60" w:line="276" w:lineRule="auto"/>
        <w:ind w:left="360"/>
      </w:pPr>
      <w:r>
        <w:rPr>
          <w:rFonts w:ascii="Calibri" w:hAnsi="Calibri"/>
          <w:b/>
          <w:color w:val="2C3E50"/>
          <w:sz w:val="21"/>
        </w:rPr>
        <w:t>• financial_transactions:</w:t>
      </w:r>
      <w:r>
        <w:rPr>
          <w:rFonts w:ascii="Calibri" w:hAnsi="Calibri"/>
          <w:color w:val="2C3E50"/>
          <w:sz w:val="21"/>
        </w:rPr>
        <w:t xml:space="preserve"> Banking operations, fund transfers, supplier invoice settlement, customer refunds, and corporate treasury management.</w:t>
      </w:r>
    </w:p>
    <w:p>
      <w:pPr>
        <w:pStyle w:val="ListBullet"/>
        <w:spacing w:after="60" w:line="276" w:lineRule="auto"/>
        <w:ind w:left="360"/>
      </w:pPr>
      <w:r>
        <w:rPr>
          <w:rFonts w:ascii="Calibri" w:hAnsi="Calibri"/>
          <w:b/>
          <w:color w:val="2C3E50"/>
          <w:sz w:val="21"/>
        </w:rPr>
        <w:t>• file_operations:</w:t>
      </w:r>
      <w:r>
        <w:rPr>
          <w:rFonts w:ascii="Calibri" w:hAnsi="Calibri"/>
          <w:color w:val="2C3E50"/>
          <w:sz w:val="21"/>
        </w:rPr>
        <w:t xml:space="preserve"> Directory inspection, log archiving, config deployment, and safe file deletion.</w:t>
      </w:r>
    </w:p>
    <w:p>
      <w:pPr>
        <w:pStyle w:val="ListBullet"/>
        <w:spacing w:after="60" w:line="276" w:lineRule="auto"/>
        <w:ind w:left="360"/>
      </w:pPr>
      <w:r>
        <w:rPr>
          <w:rFonts w:ascii="Calibri" w:hAnsi="Calibri"/>
          <w:b/>
          <w:color w:val="2C3E50"/>
          <w:sz w:val="21"/>
        </w:rPr>
        <w:t>• communication:</w:t>
      </w:r>
      <w:r>
        <w:rPr>
          <w:rFonts w:ascii="Calibri" w:hAnsi="Calibri"/>
          <w:color w:val="2C3E50"/>
          <w:sz w:val="21"/>
        </w:rPr>
        <w:t xml:space="preserve"> Incident severity triage, PagerDuty on-call paging, team messaging, mass customer broadcast emails, and public status page alerts.</w:t>
      </w:r>
    </w:p>
    <w:p>
      <w:pPr>
        <w:pStyle w:val="ListBullet"/>
        <w:spacing w:after="60" w:line="276" w:lineRule="auto"/>
      </w:pPr>
      <w:r>
        <w:rPr>
          <w:rFonts w:ascii="Calibri" w:hAnsi="Calibri"/>
          <w:b/>
          <w:color w:val="2C3E50"/>
          <w:sz w:val="21"/>
        </w:rPr>
        <w:t>3. Unified Schema Contract (schema/trajectory_schema.json):</w:t>
      </w:r>
      <w:r>
        <w:rPr>
          <w:rFonts w:ascii="Calibri" w:hAnsi="Calibri"/>
          <w:color w:val="2C3E50"/>
          <w:sz w:val="21"/>
        </w:rPr>
        <w:t xml:space="preserve"> Standardized JSON Schema (Draft-07) providing a uniform structure across benchmark sources with 11 mandatory fields. Extended to support scenario_type (standard, constraint_ambiguous, interactive) and ambiguity_score (clarified, policy_applied, guessed, ignored_policy) with 100% backward compatibility.</w:t>
      </w:r>
    </w:p>
    <w:p>
      <w:pPr>
        <w:keepNext/>
        <w:spacing w:before="320" w:after="120"/>
      </w:pPr>
      <w:r>
        <w:rPr>
          <w:rFonts w:ascii="Calibri" w:hAnsi="Calibri"/>
          <w:b/>
          <w:color w:val="184C78"/>
          <w:sz w:val="26"/>
        </w:rPr>
        <w:t>STAGE 2: MULTI-ROLE SIMULATION HARNESS (generate_trajectories_toolemu.py)</w:t>
      </w:r>
    </w:p>
    <w:p>
      <w:pPr>
        <w:pStyle w:val="ListBullet"/>
        <w:spacing w:after="60" w:line="276" w:lineRule="auto"/>
      </w:pPr>
      <w:r>
        <w:rPr>
          <w:rFonts w:ascii="Calibri" w:hAnsi="Calibri"/>
          <w:b/>
          <w:color w:val="2C3E50"/>
          <w:sz w:val="21"/>
        </w:rPr>
        <w:t>1. Agent Actor:</w:t>
      </w:r>
      <w:r>
        <w:rPr>
          <w:rFonts w:ascii="Calibri" w:hAnsi="Calibri"/>
          <w:color w:val="2C3E50"/>
          <w:sz w:val="21"/>
        </w:rPr>
        <w:t xml:space="preserve"> Receives only task instructions and real tool specifications. Operates with zero leakage of ground-truth risk taxonomy or expected achievements, planning and emitting actions autonomously.</w:t>
      </w:r>
    </w:p>
    <w:p>
      <w:pPr>
        <w:pStyle w:val="ListBullet"/>
        <w:spacing w:after="60" w:line="276" w:lineRule="auto"/>
      </w:pPr>
      <w:r>
        <w:rPr>
          <w:rFonts w:ascii="Calibri" w:hAnsi="Calibri"/>
          <w:b/>
          <w:color w:val="2C3E50"/>
          <w:sz w:val="21"/>
        </w:rPr>
        <w:t>2. Tool Emulator:</w:t>
      </w:r>
      <w:r>
        <w:rPr>
          <w:rFonts w:ascii="Calibri" w:hAnsi="Calibri"/>
          <w:color w:val="2C3E50"/>
          <w:sz w:val="21"/>
        </w:rPr>
        <w:t xml:space="preserve"> Simulates realistic system responses, execution states, API return values, and sandbox errors for each invoked tool.</w:t>
      </w:r>
    </w:p>
    <w:p>
      <w:pPr>
        <w:pStyle w:val="ListBullet"/>
        <w:spacing w:after="60" w:line="276" w:lineRule="auto"/>
      </w:pPr>
      <w:r>
        <w:rPr>
          <w:rFonts w:ascii="Calibri" w:hAnsi="Calibri"/>
          <w:b/>
          <w:color w:val="2C3E50"/>
          <w:sz w:val="21"/>
        </w:rPr>
        <w:t>3. Safety Judge:</w:t>
      </w:r>
      <w:r>
        <w:rPr>
          <w:rFonts w:ascii="Calibri" w:hAnsi="Calibri"/>
          <w:color w:val="2C3E50"/>
          <w:sz w:val="21"/>
        </w:rPr>
        <w:t xml:space="preserve"> Evaluates the complete interaction trajectory against the risk taxonomy, scoring trajectories across 6 official AIS failure categories (unauthorized_intent, wrong_parameters, tool_failure, silent_failure, no_verification, hallucinated_tool_call) with severity ratings and calibrated confidence.</w:t>
      </w:r>
    </w:p>
    <w:p>
      <w:pPr>
        <w:pStyle w:val="ListBullet"/>
        <w:spacing w:after="60" w:line="276" w:lineRule="auto"/>
      </w:pPr>
      <w:r>
        <w:rPr>
          <w:rFonts w:ascii="Calibri" w:hAnsi="Calibri"/>
          <w:b/>
          <w:color w:val="2C3E50"/>
          <w:sz w:val="21"/>
        </w:rPr>
        <w:t>Execution Results:</w:t>
      </w:r>
      <w:r>
        <w:rPr>
          <w:rFonts w:ascii="Calibri" w:hAnsi="Calibri"/>
          <w:color w:val="2C3E50"/>
          <w:sz w:val="21"/>
        </w:rPr>
        <w:t xml:space="preserve"> 43 benchmark cases executed via 273 real Gemini API calls (507,778 tokens, 17 failures [39.5%] / 26 non-failures [60.5%], 0 schema validation errors).</w:t>
      </w:r>
    </w:p>
    <w:p>
      <w:pPr>
        <w:keepNext/>
        <w:spacing w:before="320" w:after="120"/>
      </w:pPr>
      <w:r>
        <w:rPr>
          <w:rFonts w:ascii="Calibri" w:hAnsi="Calibri"/>
          <w:b/>
          <w:color w:val="184C78"/>
          <w:sz w:val="26"/>
        </w:rPr>
        <w:t>STAGE 3: STRATEGY &amp; GRADUATED POLICY HARNESS (strategy_agent_toolemu.py)</w:t>
      </w:r>
    </w:p>
    <w:p>
      <w:pPr>
        <w:pStyle w:val="ListBullet"/>
        <w:spacing w:after="60" w:line="276" w:lineRule="auto"/>
      </w:pPr>
      <w:r>
        <w:rPr>
          <w:rFonts w:ascii="Calibri" w:hAnsi="Calibri"/>
          <w:b/>
          <w:color w:val="2C3E50"/>
          <w:sz w:val="21"/>
        </w:rPr>
        <w:t>1. Realistic Ambiguity Modeling:</w:t>
      </w:r>
      <w:r>
        <w:rPr>
          <w:rFonts w:ascii="Calibri" w:hAnsi="Calibri"/>
          <w:color w:val="2C3E50"/>
          <w:sz w:val="21"/>
        </w:rPr>
        <w:t xml:space="preserve"> 15 hand-authored scenarios (5 per domain) reflecting real-world vague user instructions (e.g., 'send some money to cover rent', 'clean up old logs'). Governing threshold rules are embedded inside tool descriptions (not in task instructions), requiring the agent to discover and apply constraints.</w:t>
      </w:r>
    </w:p>
    <w:p>
      <w:pPr>
        <w:pStyle w:val="ListBullet"/>
        <w:spacing w:after="60" w:line="276" w:lineRule="auto"/>
      </w:pPr>
      <w:r>
        <w:rPr>
          <w:rFonts w:ascii="Calibri" w:hAnsi="Calibri"/>
          <w:b/>
          <w:color w:val="2C3E50"/>
          <w:sz w:val="21"/>
        </w:rPr>
        <w:t>2. Multi-Dimensional Evaluation:</w:t>
      </w:r>
      <w:r>
        <w:rPr>
          <w:rFonts w:ascii="Calibri" w:hAnsi="Calibri"/>
          <w:color w:val="2C3E50"/>
          <w:sz w:val="21"/>
        </w:rPr>
        <w:t xml:space="preserve"> Safety Judge evaluates both standard safety compliance (PASS/FAIL) and the ambiguity_handling dimension (clarified | policy_applied | guessed | ignored_policy).</w:t>
      </w:r>
    </w:p>
    <w:p>
      <w:pPr>
        <w:pStyle w:val="ListBullet"/>
        <w:spacing w:after="60" w:line="276" w:lineRule="auto"/>
      </w:pPr>
      <w:r>
        <w:rPr>
          <w:rFonts w:ascii="Calibri" w:hAnsi="Calibri"/>
          <w:b/>
          <w:color w:val="2C3E50"/>
          <w:sz w:val="21"/>
        </w:rPr>
        <w:t>Execution Results:</w:t>
      </w:r>
      <w:r>
        <w:rPr>
          <w:rFonts w:ascii="Calibri" w:hAnsi="Calibri"/>
          <w:color w:val="2C3E50"/>
          <w:sz w:val="21"/>
        </w:rPr>
        <w:t xml:space="preserve"> All 15 scenarios processed (83 real API calls, 98,200 prompt tokens, 14 clarified / 1 policy_applied, 93.3% safe resolution rate, 0 schema validation errors).</w:t>
      </w:r>
    </w:p>
    <w:p>
      <w:pPr>
        <w:keepNext/>
        <w:spacing w:before="320" w:after="120"/>
      </w:pPr>
      <w:r>
        <w:rPr>
          <w:rFonts w:ascii="Calibri" w:hAnsi="Calibri"/>
          <w:b/>
          <w:color w:val="184C78"/>
          <w:sz w:val="26"/>
        </w:rPr>
        <w:t>STAGE 4: LIVE INTERACTIVE RUNTIME SYSTEM (interactive_agent.py)</w:t>
      </w:r>
    </w:p>
    <w:p>
      <w:pPr>
        <w:pStyle w:val="ListBullet"/>
        <w:spacing w:after="60" w:line="276" w:lineRule="auto"/>
      </w:pPr>
      <w:r>
        <w:rPr>
          <w:rFonts w:ascii="Calibri" w:hAnsi="Calibri"/>
          <w:b/>
          <w:color w:val="2C3E50"/>
          <w:sz w:val="21"/>
        </w:rPr>
        <w:t>1. Auto-Domain Classifier:</w:t>
      </w:r>
      <w:r>
        <w:rPr>
          <w:rFonts w:ascii="Calibri" w:hAnsi="Calibri"/>
          <w:color w:val="2C3E50"/>
          <w:sz w:val="21"/>
        </w:rPr>
        <w:t xml:space="preserve"> Lightweight LLM classifier automatically maps arbitrary user input into financial_transactions, file_operations, or communication. If an unrelated query is entered (e.g. poetry, weather), it displays a formatted alert box and re-prompts continuously.</w:t>
      </w:r>
    </w:p>
    <w:p>
      <w:pPr>
        <w:pStyle w:val="ListBullet"/>
        <w:spacing w:after="60" w:line="276" w:lineRule="auto"/>
      </w:pPr>
      <w:r>
        <w:rPr>
          <w:rFonts w:ascii="Calibri" w:hAnsi="Calibri"/>
          <w:b/>
          <w:color w:val="2C3E50"/>
          <w:sz w:val="21"/>
        </w:rPr>
        <w:t>2. Human-in-the-Loop Clarification:</w:t>
      </w:r>
      <w:r>
        <w:rPr>
          <w:rFonts w:ascii="Calibri" w:hAnsi="Calibri"/>
          <w:color w:val="2C3E50"/>
          <w:sz w:val="21"/>
        </w:rPr>
        <w:t xml:space="preserve"> When user instructions lack critical parameters (e.g. unknown account name or missing amount), the agent pauses and asks follow-up questions directly in the terminal, allowing the user to reply live.</w:t>
      </w:r>
    </w:p>
    <w:p>
      <w:pPr>
        <w:pStyle w:val="ListBullet"/>
        <w:spacing w:after="60" w:line="276" w:lineRule="auto"/>
      </w:pPr>
      <w:r>
        <w:rPr>
          <w:rFonts w:ascii="Calibri" w:hAnsi="Calibri"/>
          <w:b/>
          <w:color w:val="2C3E50"/>
          <w:sz w:val="21"/>
        </w:rPr>
        <w:t>3. Zero Dataset Re-runs:</w:t>
      </w:r>
      <w:r>
        <w:rPr>
          <w:rFonts w:ascii="Calibri" w:hAnsi="Calibri"/>
          <w:color w:val="2C3E50"/>
          <w:sz w:val="21"/>
        </w:rPr>
        <w:t xml:space="preserve"> Loads pre-executed records once into memory (~1ms read-only) and executes only the single user-entered prompt (3 API calls).</w:t>
      </w:r>
    </w:p>
    <w:p>
      <w:pPr>
        <w:pStyle w:val="ListBullet"/>
        <w:spacing w:after="60" w:line="276" w:lineRule="auto"/>
      </w:pPr>
      <w:r>
        <w:rPr>
          <w:rFonts w:ascii="Calibri" w:hAnsi="Calibri"/>
          <w:b/>
          <w:color w:val="2C3E50"/>
          <w:sz w:val="21"/>
        </w:rPr>
        <w:t>4. Cross-Benchmark Comparison:</w:t>
      </w:r>
      <w:r>
        <w:rPr>
          <w:rFonts w:ascii="Calibri" w:hAnsi="Calibri"/>
          <w:color w:val="2C3E50"/>
          <w:sz w:val="21"/>
        </w:rPr>
        <w:t xml:space="preserve"> Performs local keyword token matching against pre-executed benchmark cases from ToolEmu and Agent-SafetyBench to provide side-by-side behavioral comparison.</w:t>
      </w:r>
    </w:p>
    <w:p>
      <w:pPr>
        <w:keepNext/>
        <w:spacing w:before="320" w:after="120"/>
      </w:pPr>
      <w:r>
        <w:rPr>
          <w:rFonts w:ascii="Calibri" w:hAnsi="Calibri"/>
          <w:b/>
          <w:color w:val="184C78"/>
          <w:sz w:val="26"/>
        </w:rPr>
        <w:t>OUTPUT REPOSITORY SUMMARY</w:t>
      </w:r>
    </w:p>
    <w:tbl>
      <w:tblPr>
        <w:tblW w:type="auto" w:w="0"/>
        <w:jc w:val="center"/>
        <w:tblLook w:firstColumn="1" w:firstRow="1" w:lastColumn="0" w:lastRow="0" w:noHBand="0" w:noVBand="1" w:val="04A0"/>
      </w:tblPr>
      <w:tblGrid>
        <w:gridCol w:w="3120"/>
        <w:gridCol w:w="3120"/>
        <w:gridCol w:w="3120"/>
      </w:tblGrid>
      <w:tr>
        <w:tc>
          <w:tcPr>
            <w:tcW w:type="dxa" w:w="3600"/>
            <w:shd w:fill="184C78"/>
            <w:tcMar>
              <w:top w:w="100" w:type="dxa"/>
              <w:bottom w:w="100" w:type="dxa"/>
              <w:left w:w="140" w:type="dxa"/>
              <w:right w:w="140" w:type="dxa"/>
            </w:tcMar>
          </w:tcPr>
          <w:p>
            <w:pPr>
              <w:jc w:val="center"/>
            </w:pPr>
            <w:r>
              <w:rPr>
                <w:rFonts w:ascii="Calibri" w:hAnsi="Calibri"/>
                <w:b/>
                <w:color w:val="FFFFFF"/>
                <w:sz w:val="20"/>
              </w:rPr>
              <w:t>Dataset Artifact</w:t>
            </w:r>
          </w:p>
        </w:tc>
        <w:tc>
          <w:tcPr>
            <w:tcW w:type="dxa" w:w="2592"/>
            <w:shd w:fill="184C78"/>
            <w:tcMar>
              <w:top w:w="100" w:type="dxa"/>
              <w:bottom w:w="100" w:type="dxa"/>
              <w:left w:w="140" w:type="dxa"/>
              <w:right w:w="140" w:type="dxa"/>
            </w:tcMar>
          </w:tcPr>
          <w:p>
            <w:pPr>
              <w:jc w:val="center"/>
            </w:pPr>
            <w:r>
              <w:rPr>
                <w:rFonts w:ascii="Calibri" w:hAnsi="Calibri"/>
                <w:b/>
                <w:color w:val="FFFFFF"/>
                <w:sz w:val="20"/>
              </w:rPr>
              <w:t>Record Count / Type</w:t>
            </w:r>
          </w:p>
        </w:tc>
        <w:tc>
          <w:tcPr>
            <w:tcW w:type="dxa" w:w="3168"/>
            <w:shd w:fill="184C78"/>
            <w:tcMar>
              <w:top w:w="100" w:type="dxa"/>
              <w:bottom w:w="100" w:type="dxa"/>
              <w:left w:w="140" w:type="dxa"/>
              <w:right w:w="140" w:type="dxa"/>
            </w:tcMar>
          </w:tcPr>
          <w:p>
            <w:pPr>
              <w:jc w:val="center"/>
            </w:pPr>
            <w:r>
              <w:rPr>
                <w:rFonts w:ascii="Calibri" w:hAnsi="Calibri"/>
                <w:b/>
                <w:color w:val="FFFFFF"/>
                <w:sz w:val="20"/>
              </w:rPr>
              <w:t>Primary Purpose</w:t>
            </w:r>
          </w:p>
        </w:tc>
      </w:tr>
      <w:tr>
        <w:tc>
          <w:tcPr>
            <w:tcW w:type="dxa" w:w="3600"/>
            <w:shd w:fill="F8F9F9"/>
            <w:tcMar>
              <w:top w:w="90" w:type="dxa"/>
              <w:bottom w:w="90" w:type="dxa"/>
              <w:left w:w="140" w:type="dxa"/>
              <w:right w:w="140" w:type="dxa"/>
            </w:tcMar>
          </w:tcPr>
          <w:p>
            <w:r>
              <w:rPr>
                <w:rFonts w:ascii="Calibri" w:hAnsi="Calibri"/>
                <w:b/>
                <w:color w:val="2C3E50"/>
                <w:sz w:val="19"/>
              </w:rPr>
              <w:t>toolemu_normalized.jsonl</w:t>
            </w:r>
          </w:p>
        </w:tc>
        <w:tc>
          <w:tcPr>
            <w:tcW w:type="dxa" w:w="2592"/>
            <w:shd w:fill="F8F9F9"/>
            <w:tcMar>
              <w:top w:w="90" w:type="dxa"/>
              <w:bottom w:w="90" w:type="dxa"/>
              <w:left w:w="140" w:type="dxa"/>
              <w:right w:w="140" w:type="dxa"/>
            </w:tcMar>
          </w:tcPr>
          <w:p>
            <w:r>
              <w:rPr>
                <w:rFonts w:ascii="Calibri" w:hAnsi="Calibri"/>
                <w:color w:val="2C3E50"/>
                <w:sz w:val="19"/>
              </w:rPr>
              <w:t>43 Normalized Records</w:t>
            </w:r>
          </w:p>
        </w:tc>
        <w:tc>
          <w:tcPr>
            <w:tcW w:type="dxa" w:w="3168"/>
            <w:shd w:fill="F8F9F9"/>
            <w:tcMar>
              <w:top w:w="90" w:type="dxa"/>
              <w:bottom w:w="90" w:type="dxa"/>
              <w:left w:w="140" w:type="dxa"/>
              <w:right w:w="140" w:type="dxa"/>
            </w:tcMar>
          </w:tcPr>
          <w:p>
            <w:r>
              <w:rPr>
                <w:rFonts w:ascii="Calibri" w:hAnsi="Calibri"/>
                <w:color w:val="2C3E50"/>
                <w:sz w:val="19"/>
              </w:rPr>
              <w:t>Domain-filtered ToolEmu benchmark scenarios</w:t>
            </w:r>
          </w:p>
        </w:tc>
      </w:tr>
      <w:tr>
        <w:tc>
          <w:tcPr>
            <w:tcW w:type="dxa" w:w="3600"/>
            <w:shd w:fill="FFFFFF"/>
            <w:tcMar>
              <w:top w:w="90" w:type="dxa"/>
              <w:bottom w:w="90" w:type="dxa"/>
              <w:left w:w="140" w:type="dxa"/>
              <w:right w:w="140" w:type="dxa"/>
            </w:tcMar>
          </w:tcPr>
          <w:p>
            <w:r>
              <w:rPr>
                <w:rFonts w:ascii="Calibri" w:hAnsi="Calibri"/>
                <w:b/>
                <w:color w:val="2C3E50"/>
                <w:sz w:val="19"/>
              </w:rPr>
              <w:t>toolemu_executed.jsonl</w:t>
            </w:r>
          </w:p>
        </w:tc>
        <w:tc>
          <w:tcPr>
            <w:tcW w:type="dxa" w:w="2592"/>
            <w:shd w:fill="FFFFFF"/>
            <w:tcMar>
              <w:top w:w="90" w:type="dxa"/>
              <w:bottom w:w="90" w:type="dxa"/>
              <w:left w:w="140" w:type="dxa"/>
              <w:right w:w="140" w:type="dxa"/>
            </w:tcMar>
          </w:tcPr>
          <w:p>
            <w:r>
              <w:rPr>
                <w:rFonts w:ascii="Calibri" w:hAnsi="Calibri"/>
                <w:color w:val="2C3E50"/>
                <w:sz w:val="19"/>
              </w:rPr>
              <w:t>43 Executed Trajectories</w:t>
            </w:r>
          </w:p>
        </w:tc>
        <w:tc>
          <w:tcPr>
            <w:tcW w:type="dxa" w:w="3168"/>
            <w:shd w:fill="FFFFFF"/>
            <w:tcMar>
              <w:top w:w="90" w:type="dxa"/>
              <w:bottom w:w="90" w:type="dxa"/>
              <w:left w:w="140" w:type="dxa"/>
              <w:right w:w="140" w:type="dxa"/>
            </w:tcMar>
          </w:tcPr>
          <w:p>
            <w:r>
              <w:rPr>
                <w:rFonts w:ascii="Calibri" w:hAnsi="Calibri"/>
                <w:color w:val="2C3E50"/>
                <w:sz w:val="19"/>
              </w:rPr>
              <w:t>Full LLM multi-role benchmark simulations</w:t>
            </w:r>
          </w:p>
        </w:tc>
      </w:tr>
      <w:tr>
        <w:tc>
          <w:tcPr>
            <w:tcW w:type="dxa" w:w="3600"/>
            <w:shd w:fill="F8F9F9"/>
            <w:tcMar>
              <w:top w:w="90" w:type="dxa"/>
              <w:bottom w:w="90" w:type="dxa"/>
              <w:left w:w="140" w:type="dxa"/>
              <w:right w:w="140" w:type="dxa"/>
            </w:tcMar>
          </w:tcPr>
          <w:p>
            <w:r>
              <w:rPr>
                <w:rFonts w:ascii="Calibri" w:hAnsi="Calibri"/>
                <w:b/>
                <w:color w:val="2C3E50"/>
                <w:sz w:val="19"/>
              </w:rPr>
              <w:t>strategy_scenarios_executed.jsonl</w:t>
            </w:r>
          </w:p>
        </w:tc>
        <w:tc>
          <w:tcPr>
            <w:tcW w:type="dxa" w:w="2592"/>
            <w:shd w:fill="F8F9F9"/>
            <w:tcMar>
              <w:top w:w="90" w:type="dxa"/>
              <w:bottom w:w="90" w:type="dxa"/>
              <w:left w:w="140" w:type="dxa"/>
              <w:right w:w="140" w:type="dxa"/>
            </w:tcMar>
          </w:tcPr>
          <w:p>
            <w:r>
              <w:rPr>
                <w:rFonts w:ascii="Calibri" w:hAnsi="Calibri"/>
                <w:color w:val="2C3E50"/>
                <w:sz w:val="19"/>
              </w:rPr>
              <w:t>15 Strategy Trajectories</w:t>
            </w:r>
          </w:p>
        </w:tc>
        <w:tc>
          <w:tcPr>
            <w:tcW w:type="dxa" w:w="3168"/>
            <w:shd w:fill="F8F9F9"/>
            <w:tcMar>
              <w:top w:w="90" w:type="dxa"/>
              <w:bottom w:w="90" w:type="dxa"/>
              <w:left w:w="140" w:type="dxa"/>
              <w:right w:w="140" w:type="dxa"/>
            </w:tcMar>
          </w:tcPr>
          <w:p>
            <w:r>
              <w:rPr>
                <w:rFonts w:ascii="Calibri" w:hAnsi="Calibri"/>
                <w:color w:val="2C3E50"/>
                <w:sz w:val="19"/>
              </w:rPr>
              <w:t>Graduated-policy constraint evaluations</w:t>
            </w:r>
          </w:p>
        </w:tc>
      </w:tr>
      <w:tr>
        <w:tc>
          <w:tcPr>
            <w:tcW w:type="dxa" w:w="3600"/>
            <w:shd w:fill="FFFFFF"/>
            <w:tcMar>
              <w:top w:w="90" w:type="dxa"/>
              <w:bottom w:w="90" w:type="dxa"/>
              <w:left w:w="140" w:type="dxa"/>
              <w:right w:w="140" w:type="dxa"/>
            </w:tcMar>
          </w:tcPr>
          <w:p>
            <w:r>
              <w:rPr>
                <w:rFonts w:ascii="Calibri" w:hAnsi="Calibri"/>
                <w:b/>
                <w:color w:val="2C3E50"/>
                <w:sz w:val="19"/>
              </w:rPr>
              <w:t>interactive_runs.jsonl</w:t>
            </w:r>
          </w:p>
        </w:tc>
        <w:tc>
          <w:tcPr>
            <w:tcW w:type="dxa" w:w="2592"/>
            <w:shd w:fill="FFFFFF"/>
            <w:tcMar>
              <w:top w:w="90" w:type="dxa"/>
              <w:bottom w:w="90" w:type="dxa"/>
              <w:left w:w="140" w:type="dxa"/>
              <w:right w:w="140" w:type="dxa"/>
            </w:tcMar>
          </w:tcPr>
          <w:p>
            <w:r>
              <w:rPr>
                <w:rFonts w:ascii="Calibri" w:hAnsi="Calibri"/>
                <w:color w:val="2C3E50"/>
                <w:sz w:val="19"/>
              </w:rPr>
              <w:t>Dynamic User Runs</w:t>
            </w:r>
          </w:p>
        </w:tc>
        <w:tc>
          <w:tcPr>
            <w:tcW w:type="dxa" w:w="3168"/>
            <w:shd w:fill="FFFFFF"/>
            <w:tcMar>
              <w:top w:w="90" w:type="dxa"/>
              <w:bottom w:w="90" w:type="dxa"/>
              <w:left w:w="140" w:type="dxa"/>
              <w:right w:w="140" w:type="dxa"/>
            </w:tcMar>
          </w:tcPr>
          <w:p>
            <w:r>
              <w:rPr>
                <w:rFonts w:ascii="Calibri" w:hAnsi="Calibri"/>
                <w:color w:val="2C3E50"/>
                <w:sz w:val="19"/>
              </w:rPr>
              <w:t>Real-time human-in-the-loop sessions</w:t>
            </w:r>
          </w:p>
        </w:tc>
      </w:tr>
      <w:tr>
        <w:tc>
          <w:tcPr>
            <w:tcW w:type="dxa" w:w="3600"/>
            <w:shd w:fill="F8F9F9"/>
            <w:tcMar>
              <w:top w:w="90" w:type="dxa"/>
              <w:bottom w:w="90" w:type="dxa"/>
              <w:left w:w="140" w:type="dxa"/>
              <w:right w:w="140" w:type="dxa"/>
            </w:tcMar>
          </w:tcPr>
          <w:p>
            <w:r>
              <w:rPr>
                <w:rFonts w:ascii="Calibri" w:hAnsi="Calibri"/>
                <w:b/>
                <w:color w:val="2C3E50"/>
                <w:sz w:val="19"/>
              </w:rPr>
              <w:t>toolemu_api_audit.jsonl</w:t>
            </w:r>
          </w:p>
        </w:tc>
        <w:tc>
          <w:tcPr>
            <w:tcW w:type="dxa" w:w="2592"/>
            <w:shd w:fill="F8F9F9"/>
            <w:tcMar>
              <w:top w:w="90" w:type="dxa"/>
              <w:bottom w:w="90" w:type="dxa"/>
              <w:left w:w="140" w:type="dxa"/>
              <w:right w:w="140" w:type="dxa"/>
            </w:tcMar>
          </w:tcPr>
          <w:p>
            <w:r>
              <w:rPr>
                <w:rFonts w:ascii="Calibri" w:hAnsi="Calibri"/>
                <w:color w:val="2C3E50"/>
                <w:sz w:val="19"/>
              </w:rPr>
              <w:t>350+ Raw API Logs</w:t>
            </w:r>
          </w:p>
        </w:tc>
        <w:tc>
          <w:tcPr>
            <w:tcW w:type="dxa" w:w="3168"/>
            <w:shd w:fill="F8F9F9"/>
            <w:tcMar>
              <w:top w:w="90" w:type="dxa"/>
              <w:bottom w:w="90" w:type="dxa"/>
              <w:left w:w="140" w:type="dxa"/>
              <w:right w:w="140" w:type="dxa"/>
            </w:tcMar>
          </w:tcPr>
          <w:p>
            <w:r>
              <w:rPr>
                <w:rFonts w:ascii="Calibri" w:hAnsi="Calibri"/>
                <w:color w:val="2C3E50"/>
                <w:sz w:val="19"/>
              </w:rPr>
              <w:t>Full prompt, token &amp; latency audit trail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