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22A" w:val="clear"/>
        <w:spacing w:before="240" w:after="0"/>
        <w:jc w:val="center"/>
      </w:pPr>
      <w:r>
        <w:rPr>
          <w:rFonts w:ascii="Arial" w:cs="Arial" w:eastAsia="Arial" w:hAnsi="Arial"/>
          <w:b/>
          <w:bCs/>
          <w:color w:val="FFFFFF"/>
          <w:sz w:val="72"/>
          <w:szCs w:val="72"/>
        </w:rPr>
        <w:t xml:space="preserve">POLY</w:t>
      </w:r>
      <w:r>
        <w:rPr>
          <w:rFonts w:ascii="Arial" w:cs="Arial" w:eastAsia="Arial" w:hAnsi="Arial"/>
          <w:b/>
          <w:bCs/>
          <w:color w:val="00C8F0"/>
          <w:sz w:val="72"/>
          <w:szCs w:val="72"/>
        </w:rPr>
        <w:t xml:space="preserve">MATIC</w:t>
      </w:r>
    </w:p>
    <w:p>
      <w:pPr>
        <w:shd w:fill="08122A" w:val="clear"/>
        <w:spacing w:before="0" w:after="0"/>
        <w:jc w:val="center"/>
      </w:pPr>
      <w:r>
        <w:rPr>
          <w:rFonts w:ascii="Arial" w:cs="Arial" w:eastAsia="Arial" w:hAnsi="Arial"/>
          <w:b/>
          <w:bCs/>
          <w:color w:val="7090A8"/>
          <w:spacing w:val="80"/>
          <w:sz w:val="18"/>
          <w:szCs w:val="18"/>
        </w:rPr>
        <w:t xml:space="preserve">GLOBAL GEOSPATIAL MACRO INTELLIGENCE</w:t>
      </w:r>
    </w:p>
    <w:p>
      <w:pPr>
        <w:shd w:fill="08122A" w:val="clear"/>
        <w:spacing w:before="0" w:after="0"/>
        <w:jc w:val="center"/>
      </w:pPr>
      <w:r>
        <w:rPr>
          <w:rFonts w:ascii="Arial" w:cs="Arial" w:eastAsia="Arial" w:hAnsi="Arial"/>
          <w:sz w:val="12"/>
          <w:szCs w:val="12"/>
        </w:rPr>
        <w:t xml:space="preserve"> </w:t>
      </w:r>
    </w:p>
    <w:p>
      <w:pPr>
        <w:pBdr>
          <w:bottom w:val="single" w:color="00C8F0" w:sz="10" w:space="2"/>
        </w:pBdr>
        <w:spacing w:before="0" w:after="0"/>
      </w:pPr>
      <w:r>
        <w:t xml:space="preserve"/>
      </w:r>
    </w:p>
    <w:p>
      <w:pPr>
        <w:spacing w:before="0" w:after="200"/>
      </w:pPr>
      <w:r>
        <w:t xml:space="preserve"/>
      </w:r>
    </w:p>
    <w:p>
      <w:pPr>
        <w:spacing w:before="0" w:after="60"/>
      </w:pPr>
      <w:r>
        <w:rPr>
          <w:rFonts w:ascii="Arial" w:cs="Arial" w:eastAsia="Arial" w:hAnsi="Arial"/>
          <w:b/>
          <w:bCs/>
          <w:color w:val="08122A"/>
          <w:spacing w:val="80"/>
          <w:sz w:val="18"/>
          <w:szCs w:val="18"/>
        </w:rPr>
        <w:t xml:space="preserve">FOR IMMEDIATE RELEASE</w:t>
      </w:r>
    </w:p>
    <w:p>
      <w:pPr>
        <w:spacing w:before="0" w:after="200"/>
      </w:pPr>
      <w:r>
        <w:rPr>
          <w:rFonts w:ascii="Arial" w:cs="Arial" w:eastAsia="Arial" w:hAnsi="Arial"/>
          <w:color w:val="4A5568"/>
          <w:sz w:val="19"/>
          <w:szCs w:val="19"/>
        </w:rPr>
        <w:t xml:space="preserve">New York, NY  —  March 10, 2025</w:t>
      </w:r>
    </w:p>
    <w:p>
      <w:pPr>
        <w:spacing w:before="0" w:after="180"/>
        <w:jc w:val="left"/>
      </w:pPr>
      <w:r>
        <w:rPr>
          <w:rFonts w:ascii="Arial" w:cs="Arial" w:eastAsia="Arial" w:hAnsi="Arial"/>
          <w:b/>
          <w:bCs/>
          <w:color w:val="08122A"/>
          <w:sz w:val="38"/>
          <w:szCs w:val="38"/>
        </w:rPr>
        <w:t xml:space="preserve">PolyMatic Launches the World’s First AI-Native Geospatial Macro Intelligence Platform, Unifying Real-Time OSINT, Satellite Signals, and Commodity Markets in a Single 3D Console</w:t>
      </w:r>
    </w:p>
    <w:p>
      <w:pPr>
        <w:spacing w:before="0" w:after="260"/>
        <w:jc w:val="both"/>
      </w:pPr>
      <w:r>
        <w:rPr>
          <w:rFonts w:ascii="Georgia" w:cs="Georgia" w:eastAsia="Georgia" w:hAnsi="Georgia"/>
          <w:b w:val="false"/>
          <w:bCs w:val="false"/>
          <w:i/>
          <w:iCs/>
          <w:color w:val="1A2840"/>
          <w:sz w:val="24"/>
          <w:szCs w:val="24"/>
        </w:rPr>
        <w:t xml:space="preserve">Platform delivers 30 independently toggleable intelligence overlays spanning aircraft tracking, maritime surveillance, satellite orbits, conflict monitoring, energy infrastructure, and a pioneering suite of commodity market analytics — powered by an AI Insight Engine that correlates signals across geospatial, financial, and OSINT data streams in real time.</w:t>
      </w:r>
    </w:p>
    <w:p>
      <w:pPr>
        <w:pBdr>
          <w:bottom w:val="single" w:color="C8D4DF" w:sz="4" w:space="2"/>
        </w:pBdr>
        <w:spacing w:before="0" w:after="0"/>
      </w:pPr>
      <w:r>
        <w:t xml:space="preserve"/>
      </w:r>
    </w:p>
    <w:p>
      <w:pPr>
        <w:spacing w:before="0" w:after="200"/>
      </w:pPr>
      <w:r>
        <w:t xml:space="preserve"/>
      </w:r>
    </w:p>
    <w:p>
      <w:pPr>
        <w:spacing w:before="0" w:after="200"/>
        <w:jc w:val="both"/>
      </w:pPr>
      <w:r>
        <w:rPr>
          <w:rFonts w:ascii="Georgia" w:cs="Georgia" w:eastAsia="Georgia" w:hAnsi="Georgia"/>
          <w:b/>
          <w:bCs/>
          <w:i w:val="false"/>
          <w:iCs w:val="false"/>
          <w:color w:val="111111"/>
          <w:sz w:val="22"/>
          <w:szCs w:val="22"/>
        </w:rPr>
        <w:t xml:space="preserve">Platform6ix Inc.</w:t>
      </w:r>
      <w:r>
        <w:rPr>
          <w:rFonts w:ascii="Georgia" w:cs="Georgia" w:eastAsia="Georgia" w:hAnsi="Georgia"/>
          <w:b w:val="false"/>
          <w:bCs w:val="false"/>
          <w:i w:val="false"/>
          <w:iCs w:val="false"/>
          <w:color w:val="111111"/>
          <w:sz w:val="22"/>
          <w:szCs w:val="22"/>
        </w:rPr>
        <w:t xml:space="preserve"> today announced the commercial launch of the PolyMatic platform — an AI-native geospatial macro intelligence system designed for analysts, investors, journalists, defence professionals, and supply chain operators who require a unified, real-time view of global events. The platform aggregates and visualises more than 30 distinct intelligence data streams on an interactive, browser-based 3D globe, fusing open-source intelligence (OSINT), satellite telemetry, commodity market feeds, and supply chain signals into a single professional-grade console accessible from any modern web browser.</w:t>
      </w:r>
    </w:p>
    <w:p>
      <w:pPr>
        <w:spacing w:before="0" w:after="200"/>
        <w:jc w:val="both"/>
      </w:pPr>
      <w:r>
        <w:rPr>
          <w:rFonts w:ascii="Georgia" w:cs="Georgia" w:eastAsia="Georgia" w:hAnsi="Georgia"/>
          <w:b w:val="false"/>
          <w:bCs w:val="false"/>
          <w:i w:val="false"/>
          <w:iCs w:val="false"/>
          <w:color w:val="111111"/>
          <w:sz w:val="22"/>
          <w:szCs w:val="22"/>
        </w:rPr>
        <w:t xml:space="preserve">PolyMatic addresses a structural gap in the global intelligence landscape: the absence of a commercial platform capable of simultaneously serving defence analysts, macro investors, energy traders, logistics operators, and geopolitical researchers without requiring enterprise procurement cycles, specialist on-premises infrastructure, or proficiency across fifteen or more disconnected monitoring tools. By consolidating the data streams that previously demanded a fragmented multi-vendor workflow, PolyMatic delivers enterprise-grade spatial intelligence through a browser in minutes.</w:t>
      </w:r>
    </w:p>
    <w:p>
      <w:pPr>
        <w:spacing w:before="0" w:after="260"/>
        <w:jc w:val="both"/>
      </w:pPr>
      <w:r>
        <w:rPr>
          <w:rFonts w:ascii="Georgia" w:cs="Georgia" w:eastAsia="Georgia" w:hAnsi="Georgia"/>
          <w:b w:val="false"/>
          <w:bCs w:val="false"/>
          <w:i w:val="false"/>
          <w:iCs w:val="false"/>
          <w:color w:val="111111"/>
          <w:sz w:val="22"/>
          <w:szCs w:val="22"/>
        </w:rPr>
        <w:t xml:space="preserve">The platform is available immediately at polymatic.io under tiered subscription plans ranging from individual analyst seats to full institutional and government enterprise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840" w:sz="4"/>
              <w:left w:val="single" w:color="1A2840" w:sz="4"/>
              <w:bottom w:val="single" w:color="1A2840" w:sz="4"/>
              <w:right w:val="single" w:color="1A2840" w:sz="4"/>
            </w:tcBorders>
            <w:shd w:fill="08122A" w:val="clear"/>
            <w:tcMar>
              <w:top w:type="dxa" w:w="180"/>
              <w:left w:type="dxa" w:w="200"/>
              <w:bottom w:type="dxa" w:w="180"/>
              <w:right w:type="dxa" w:w="200"/>
            </w:tcMar>
          </w:tcPr>
          <w:p>
            <w:pPr>
              <w:jc w:val="center"/>
            </w:pPr>
            <w:r>
              <w:rPr>
                <w:rFonts w:ascii="Arial" w:cs="Arial" w:eastAsia="Arial" w:hAnsi="Arial"/>
                <w:b/>
                <w:bCs/>
                <w:color w:val="00C8F0"/>
                <w:sz w:val="36"/>
                <w:szCs w:val="36"/>
              </w:rPr>
              <w:t xml:space="preserve">30</w:t>
            </w:r>
          </w:p>
          <w:p>
            <w:pPr>
              <w:spacing w:before="40" w:after="0"/>
              <w:jc w:val="center"/>
            </w:pPr>
            <w:r>
              <w:rPr>
                <w:rFonts w:ascii="Arial" w:cs="Arial" w:eastAsia="Arial" w:hAnsi="Arial"/>
                <w:color w:val="A0B8CC"/>
                <w:spacing w:val="40"/>
                <w:sz w:val="16"/>
                <w:szCs w:val="16"/>
              </w:rPr>
              <w:t xml:space="preserve">INTELLIGENCE OVERLAYS</w:t>
            </w:r>
          </w:p>
        </w:tc>
        <w:tc>
          <w:tcPr>
            <w:tcW w:type="dxa" w:w="2340"/>
            <w:tcBorders>
              <w:top w:val="single" w:color="1A2840" w:sz="4"/>
              <w:left w:val="single" w:color="1A2840" w:sz="4"/>
              <w:bottom w:val="single" w:color="1A2840" w:sz="4"/>
              <w:right w:val="single" w:color="1A2840" w:sz="4"/>
            </w:tcBorders>
            <w:shd w:fill="08122A" w:val="clear"/>
            <w:tcMar>
              <w:top w:type="dxa" w:w="180"/>
              <w:left w:type="dxa" w:w="200"/>
              <w:bottom w:type="dxa" w:w="180"/>
              <w:right w:type="dxa" w:w="200"/>
            </w:tcMar>
          </w:tcPr>
          <w:p>
            <w:pPr>
              <w:jc w:val="center"/>
            </w:pPr>
            <w:r>
              <w:rPr>
                <w:rFonts w:ascii="Arial" w:cs="Arial" w:eastAsia="Arial" w:hAnsi="Arial"/>
                <w:b/>
                <w:bCs/>
                <w:color w:val="00C8F0"/>
                <w:sz w:val="36"/>
                <w:szCs w:val="36"/>
              </w:rPr>
              <w:t xml:space="preserve">10,000+</w:t>
            </w:r>
          </w:p>
          <w:p>
            <w:pPr>
              <w:spacing w:before="40" w:after="0"/>
              <w:jc w:val="center"/>
            </w:pPr>
            <w:r>
              <w:rPr>
                <w:rFonts w:ascii="Arial" w:cs="Arial" w:eastAsia="Arial" w:hAnsi="Arial"/>
                <w:color w:val="A0B8CC"/>
                <w:spacing w:val="40"/>
                <w:sz w:val="16"/>
                <w:szCs w:val="16"/>
              </w:rPr>
              <w:t xml:space="preserve">LIVE AIRCRAFT</w:t>
            </w:r>
          </w:p>
        </w:tc>
        <w:tc>
          <w:tcPr>
            <w:tcW w:type="dxa" w:w="2340"/>
            <w:tcBorders>
              <w:top w:val="single" w:color="1A2840" w:sz="4"/>
              <w:left w:val="single" w:color="1A2840" w:sz="4"/>
              <w:bottom w:val="single" w:color="1A2840" w:sz="4"/>
              <w:right w:val="single" w:color="1A2840" w:sz="4"/>
            </w:tcBorders>
            <w:shd w:fill="08122A" w:val="clear"/>
            <w:tcMar>
              <w:top w:type="dxa" w:w="180"/>
              <w:left w:type="dxa" w:w="200"/>
              <w:bottom w:type="dxa" w:w="180"/>
              <w:right w:type="dxa" w:w="200"/>
            </w:tcMar>
          </w:tcPr>
          <w:p>
            <w:pPr>
              <w:jc w:val="center"/>
            </w:pPr>
            <w:r>
              <w:rPr>
                <w:rFonts w:ascii="Arial" w:cs="Arial" w:eastAsia="Arial" w:hAnsi="Arial"/>
                <w:b/>
                <w:bCs/>
                <w:color w:val="00C8F0"/>
                <w:sz w:val="36"/>
                <w:szCs w:val="36"/>
              </w:rPr>
              <w:t xml:space="preserve">100,000+</w:t>
            </w:r>
          </w:p>
          <w:p>
            <w:pPr>
              <w:spacing w:before="40" w:after="0"/>
              <w:jc w:val="center"/>
            </w:pPr>
            <w:r>
              <w:rPr>
                <w:rFonts w:ascii="Arial" w:cs="Arial" w:eastAsia="Arial" w:hAnsi="Arial"/>
                <w:color w:val="A0B8CC"/>
                <w:spacing w:val="40"/>
                <w:sz w:val="16"/>
                <w:szCs w:val="16"/>
              </w:rPr>
              <w:t xml:space="preserve">MARITIME VESSELS</w:t>
            </w:r>
          </w:p>
        </w:tc>
        <w:tc>
          <w:tcPr>
            <w:tcW w:type="dxa" w:w="2340"/>
            <w:tcBorders>
              <w:top w:val="single" w:color="1A2840" w:sz="4"/>
              <w:left w:val="single" w:color="1A2840" w:sz="4"/>
              <w:bottom w:val="single" w:color="1A2840" w:sz="4"/>
              <w:right w:val="single" w:color="1A2840" w:sz="4"/>
            </w:tcBorders>
            <w:shd w:fill="08122A" w:val="clear"/>
            <w:tcMar>
              <w:top w:type="dxa" w:w="180"/>
              <w:left w:type="dxa" w:w="200"/>
              <w:bottom w:type="dxa" w:w="180"/>
              <w:right w:type="dxa" w:w="200"/>
            </w:tcMar>
          </w:tcPr>
          <w:p>
            <w:pPr>
              <w:jc w:val="center"/>
            </w:pPr>
            <w:r>
              <w:rPr>
                <w:rFonts w:ascii="Arial" w:cs="Arial" w:eastAsia="Arial" w:hAnsi="Arial"/>
                <w:b/>
                <w:bCs/>
                <w:color w:val="00C8F0"/>
                <w:sz w:val="36"/>
                <w:szCs w:val="36"/>
              </w:rPr>
              <w:t xml:space="preserve">500+</w:t>
            </w:r>
          </w:p>
          <w:p>
            <w:pPr>
              <w:spacing w:before="40" w:after="0"/>
              <w:jc w:val="center"/>
            </w:pPr>
            <w:r>
              <w:rPr>
                <w:rFonts w:ascii="Arial" w:cs="Arial" w:eastAsia="Arial" w:hAnsi="Arial"/>
                <w:color w:val="A0B8CC"/>
                <w:spacing w:val="40"/>
                <w:sz w:val="16"/>
                <w:szCs w:val="16"/>
              </w:rPr>
              <w:t xml:space="preserve">ACTIVE SATELLITES</w:t>
            </w:r>
          </w:p>
        </w:tc>
      </w:tr>
    </w:tbl>
    <w:p>
      <w:pPr>
        <w:spacing w:before="0" w:after="240"/>
      </w:pPr>
      <w:r>
        <w:t xml:space="preserve"/>
      </w:r>
    </w:p>
    <w:p>
      <w:pPr>
        <w:spacing w:before="0" w:after="80"/>
      </w:pPr>
      <w:r>
        <w:t xml:space="preserve"/>
      </w:r>
    </w:p>
    <w:p>
      <w:pPr>
        <w:pBdr>
          <w:left w:val="single" w:color="007BA8" w:sz="24" w:space="14"/>
        </w:pBdr>
        <w:spacing w:before="0" w:after="60"/>
        <w:ind w:left="600" w:right="600"/>
        <w:jc w:val="both"/>
      </w:pPr>
      <w:r>
        <w:rPr>
          <w:rFonts w:ascii="Georgia" w:cs="Georgia" w:eastAsia="Georgia" w:hAnsi="Georgia"/>
          <w:i/>
          <w:iCs/>
          <w:color w:val="1A2840"/>
          <w:sz w:val="23"/>
          <w:szCs w:val="23"/>
        </w:rPr>
        <w:t xml:space="preserve">“The world generates an overwhelming volume of geospatial and market signals every second of every day. Most professionals are forced to monitor more than fifteen disconnected tools simply to maintain situational awareness — and even then, they miss critical cross-domain correlations. PolyMatic eliminates that fragmentation entirely. We have built the Bloomberg Terminal of global events.”</w:t>
      </w:r>
    </w:p>
    <w:p>
      <w:pPr>
        <w:spacing w:before="0" w:after="80"/>
        <w:ind w:left="600"/>
      </w:pPr>
      <w:r>
        <w:rPr>
          <w:rFonts w:ascii="Arial" w:cs="Arial" w:eastAsia="Arial" w:hAnsi="Arial"/>
          <w:b/>
          <w:bCs/>
          <w:color w:val="4A5568"/>
          <w:sz w:val="19"/>
          <w:szCs w:val="19"/>
        </w:rPr>
        <w:t xml:space="preserve">— Chief Executive Officer, Platform6ix Inc.</w:t>
      </w:r>
    </w:p>
    <w:p>
      <w:pPr>
        <w:spacing w:before="0" w:after="80"/>
      </w:pPr>
      <w:r>
        <w:t xml:space="preserve"/>
      </w:r>
    </w:p>
    <w:p>
      <w:pPr>
        <w:spacing w:before="0" w:after="120"/>
      </w:pPr>
      <w:r>
        <w:t xml:space="preserve"/>
      </w:r>
    </w:p>
    <w:p>
      <w:pPr>
        <w:pBdr>
          <w:bottom w:val="single" w:color="007BA8" w:sz="6" w:space="4"/>
        </w:pBdr>
        <w:spacing w:before="0" w:after="80"/>
      </w:pPr>
      <w:r>
        <w:rPr>
          <w:rFonts w:ascii="Arial" w:cs="Arial" w:eastAsia="Arial" w:hAnsi="Arial"/>
          <w:b/>
          <w:bCs/>
          <w:color w:val="08122A"/>
          <w:spacing w:val="80"/>
          <w:sz w:val="19"/>
          <w:szCs w:val="19"/>
        </w:rPr>
        <w:t xml:space="preserve">PLATFORM OVERVIEW</w:t>
      </w:r>
    </w:p>
    <w:p>
      <w:pPr>
        <w:spacing w:before="0" w:after="60"/>
      </w:pPr>
      <w:r>
        <w:t xml:space="preserve"/>
      </w:r>
    </w:p>
    <w:p>
      <w:pPr>
        <w:spacing w:before="0" w:after="200"/>
        <w:jc w:val="both"/>
      </w:pPr>
      <w:r>
        <w:rPr>
          <w:rFonts w:ascii="Georgia" w:cs="Georgia" w:eastAsia="Georgia" w:hAnsi="Georgia"/>
          <w:b w:val="false"/>
          <w:bCs w:val="false"/>
          <w:i w:val="false"/>
          <w:iCs w:val="false"/>
          <w:color w:val="111111"/>
          <w:sz w:val="22"/>
          <w:szCs w:val="22"/>
        </w:rPr>
        <w:t xml:space="preserve">The PolyMatic platform is built on a production-grade distributed architecture capable of ingesting, normalising, and broadcasting real-time telemetry at global scale. Delivered as a browser-based application requiring no installation or local configuration, PolyMatic is accessible across desktop, mobile, and tablet form factors from launch. The platform’s modular layer architecture allows users to independently toggle each intelligence overlay, apply spatial and attribute filters, and invoke the historical timeline playback engine to reconstruct past events with full signal fidelity.</w:t>
      </w:r>
    </w:p>
    <w:p>
      <w:pPr>
        <w:spacing w:before="0" w:after="120"/>
        <w:jc w:val="both"/>
      </w:pPr>
      <w:r>
        <w:rPr>
          <w:rFonts w:ascii="Georgia" w:cs="Georgia" w:eastAsia="Georgia" w:hAnsi="Georgia"/>
          <w:b w:val="false"/>
          <w:bCs w:val="false"/>
          <w:i w:val="false"/>
          <w:iCs w:val="false"/>
          <w:color w:val="111111"/>
          <w:sz w:val="22"/>
          <w:szCs w:val="22"/>
        </w:rPr>
        <w:t xml:space="preserve">Core platform capabilities at general availability include:</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A real-time interactive 3D globe powered by CesiumJS, rendering at scales from orbital altitude to street level with sub-second entity updates across all active intelligence layers simultaneously.</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Thirty independently toggleable intelligence overlays, each connected to live, authoritative data sources and supporting historical timeline playback, spatial clustering, and granular entity-level filtering.</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A proprietary AI Insight Engine that continuously monitors all active layers, correlates cross-domain signals, and surfaces structured intelligence alerts with confidence scores and correlated signal citations — without requiring manual analyst configuration.</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A WebSocket-based streaming API delivering sub-100ms entity update latency, enabling institutional subscribers to integrate live intelligence feeds directly into proprietary analytical systems, trading platforms, and custom dashboards.</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An enterprise-grade historical replay engine with full timeline scrubbing across all intelligence layers, supporting incident reconstruction, investigative research, and retrospective geospatial analysis.</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Role-based access controls, team workspace management, and audit logging for enterprise and government deployments requiring information governance compliance.</w:t>
      </w:r>
    </w:p>
    <w:p>
      <w:pPr>
        <w:spacing w:before="0" w:after="120"/>
      </w:pPr>
      <w:r>
        <w:t xml:space="preserve"/>
      </w:r>
    </w:p>
    <w:p>
      <w:pPr>
        <w:spacing w:before="0" w:after="120"/>
      </w:pPr>
      <w:r>
        <w:t xml:space="preserve"/>
      </w:r>
    </w:p>
    <w:p>
      <w:pPr>
        <w:pBdr>
          <w:bottom w:val="single" w:color="007BA8" w:sz="6" w:space="4"/>
        </w:pBdr>
        <w:spacing w:before="0" w:after="80"/>
      </w:pPr>
      <w:r>
        <w:rPr>
          <w:rFonts w:ascii="Arial" w:cs="Arial" w:eastAsia="Arial" w:hAnsi="Arial"/>
          <w:b/>
          <w:bCs/>
          <w:color w:val="08122A"/>
          <w:spacing w:val="80"/>
          <w:sz w:val="19"/>
          <w:szCs w:val="19"/>
        </w:rPr>
        <w:t xml:space="preserve">CORE OSINT INTELLIGENCE OVERLAYS (LAYERS 1–20)</w:t>
      </w:r>
    </w:p>
    <w:p>
      <w:pPr>
        <w:spacing w:before="0" w:after="60"/>
      </w:pPr>
      <w:r>
        <w:t xml:space="preserve"/>
      </w:r>
    </w:p>
    <w:p>
      <w:pPr>
        <w:spacing w:before="0" w:after="140"/>
        <w:jc w:val="both"/>
      </w:pPr>
      <w:r>
        <w:rPr>
          <w:rFonts w:ascii="Georgia" w:cs="Georgia" w:eastAsia="Georgia" w:hAnsi="Georgia"/>
          <w:b w:val="false"/>
          <w:bCs w:val="false"/>
          <w:i w:val="false"/>
          <w:iCs w:val="false"/>
          <w:color w:val="111111"/>
          <w:sz w:val="22"/>
          <w:szCs w:val="22"/>
        </w:rPr>
        <w:t xml:space="preserve">PolyMatic’s foundational intelligence suite comprises twenty globally sourced, real-time overlays covering the full spectrum of geospatial monitoring. The following overlays are available at platform launch:</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1.</w:t>
      </w:r>
      <w:r>
        <w:rPr>
          <w:rFonts w:ascii="Georgia" w:cs="Georgia" w:eastAsia="Georgia" w:hAnsi="Georgia"/>
          <w:b w:val="false"/>
          <w:bCs w:val="false"/>
          <w:i w:val="false"/>
          <w:iCs w:val="false"/>
          <w:color w:val="111111"/>
          <w:sz w:val="22"/>
          <w:szCs w:val="22"/>
        </w:rPr>
        <w:t xml:space="preserve"> Global Aircraft Tracking.</w:t>
      </w:r>
    </w:p>
    <w:p>
      <w:pPr>
        <w:spacing w:before="0" w:after="100"/>
        <w:ind w:left="640"/>
        <w:jc w:val="both"/>
      </w:pPr>
      <w:r>
        <w:rPr>
          <w:rFonts w:ascii="Georgia" w:cs="Georgia" w:eastAsia="Georgia" w:hAnsi="Georgia"/>
          <w:b w:val="false"/>
          <w:bCs w:val="false"/>
          <w:i w:val="false"/>
          <w:iCs w:val="false"/>
          <w:color w:val="111111"/>
          <w:sz w:val="22"/>
          <w:szCs w:val="22"/>
        </w:rPr>
        <w:t xml:space="preserve">Live ADS-B telemetry from OpenSky Network and ADS-B Exchange, providing real-time position, altitude, and velocity visualisation for more than 10,000 simultaneous tracked aircraft, with automated military classification and trajectory analysis.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2.</w:t>
      </w:r>
      <w:r>
        <w:rPr>
          <w:rFonts w:ascii="Georgia" w:cs="Georgia" w:eastAsia="Georgia" w:hAnsi="Georgia"/>
          <w:b w:val="false"/>
          <w:bCs w:val="false"/>
          <w:i w:val="false"/>
          <w:iCs w:val="false"/>
          <w:color w:val="111111"/>
          <w:sz w:val="22"/>
          <w:szCs w:val="22"/>
        </w:rPr>
        <w:t xml:space="preserve"> Global Ship Tracking.</w:t>
      </w:r>
    </w:p>
    <w:p>
      <w:pPr>
        <w:spacing w:before="0" w:after="100"/>
        <w:ind w:left="640"/>
        <w:jc w:val="both"/>
      </w:pPr>
      <w:r>
        <w:rPr>
          <w:rFonts w:ascii="Georgia" w:cs="Georgia" w:eastAsia="Georgia" w:hAnsi="Georgia"/>
          <w:b w:val="false"/>
          <w:bCs w:val="false"/>
          <w:i w:val="false"/>
          <w:iCs w:val="false"/>
          <w:color w:val="111111"/>
          <w:sz w:val="22"/>
          <w:szCs w:val="22"/>
        </w:rPr>
        <w:t xml:space="preserve">AIS maritime telemetry covering container vessels, tankers, bulk carriers, and naval assets, with vessel-type classification, route visualisation, and port arrival and departure feed integration.</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3.</w:t>
      </w:r>
      <w:r>
        <w:rPr>
          <w:rFonts w:ascii="Georgia" w:cs="Georgia" w:eastAsia="Georgia" w:hAnsi="Georgia"/>
          <w:b w:val="false"/>
          <w:bCs w:val="false"/>
          <w:i w:val="false"/>
          <w:iCs w:val="false"/>
          <w:color w:val="111111"/>
          <w:sz w:val="22"/>
          <w:szCs w:val="22"/>
        </w:rPr>
        <w:t xml:space="preserve"> Satellite Orbit Tracker.</w:t>
      </w:r>
    </w:p>
    <w:p>
      <w:pPr>
        <w:spacing w:before="0" w:after="100"/>
        <w:ind w:left="640"/>
        <w:jc w:val="both"/>
      </w:pPr>
      <w:r>
        <w:rPr>
          <w:rFonts w:ascii="Georgia" w:cs="Georgia" w:eastAsia="Georgia" w:hAnsi="Georgia"/>
          <w:b w:val="false"/>
          <w:bCs w:val="false"/>
          <w:i w:val="false"/>
          <w:iCs w:val="false"/>
          <w:color w:val="111111"/>
          <w:sz w:val="22"/>
          <w:szCs w:val="22"/>
        </w:rPr>
        <w:t xml:space="preserve">Real-time TLE-based orbital propagation for hundreds of active satellites — including reconnaissance, communications, and scientific platforms — sourced from CelesTrak and rendered with live ground-track visualisation.</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4.</w:t>
      </w:r>
      <w:r>
        <w:rPr>
          <w:rFonts w:ascii="Georgia" w:cs="Georgia" w:eastAsia="Georgia" w:hAnsi="Georgia"/>
          <w:b w:val="false"/>
          <w:bCs w:val="false"/>
          <w:i w:val="false"/>
          <w:iCs w:val="false"/>
          <w:color w:val="111111"/>
          <w:sz w:val="22"/>
          <w:szCs w:val="22"/>
        </w:rPr>
        <w:t xml:space="preserve"> Global Wildfire Detection.</w:t>
      </w:r>
    </w:p>
    <w:p>
      <w:pPr>
        <w:spacing w:before="0" w:after="100"/>
        <w:ind w:left="640"/>
        <w:jc w:val="both"/>
      </w:pPr>
      <w:r>
        <w:rPr>
          <w:rFonts w:ascii="Georgia" w:cs="Georgia" w:eastAsia="Georgia" w:hAnsi="Georgia"/>
          <w:b w:val="false"/>
          <w:bCs w:val="false"/>
          <w:i w:val="false"/>
          <w:iCs w:val="false"/>
          <w:color w:val="111111"/>
          <w:sz w:val="22"/>
          <w:szCs w:val="22"/>
        </w:rPr>
        <w:t xml:space="preserve">NASA FIRMS thermal anomaly data providing near-real-time wildfire detection and fire intensity mapping across all land masses.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5.</w:t>
      </w:r>
      <w:r>
        <w:rPr>
          <w:rFonts w:ascii="Georgia" w:cs="Georgia" w:eastAsia="Georgia" w:hAnsi="Georgia"/>
          <w:b w:val="false"/>
          <w:bCs w:val="false"/>
          <w:i w:val="false"/>
          <w:iCs w:val="false"/>
          <w:color w:val="111111"/>
          <w:sz w:val="22"/>
          <w:szCs w:val="22"/>
        </w:rPr>
        <w:t xml:space="preserve"> Earthquake &amp; Seismic Activity.</w:t>
      </w:r>
    </w:p>
    <w:p>
      <w:pPr>
        <w:spacing w:before="0" w:after="100"/>
        <w:ind w:left="640"/>
        <w:jc w:val="both"/>
      </w:pPr>
      <w:r>
        <w:rPr>
          <w:rFonts w:ascii="Georgia" w:cs="Georgia" w:eastAsia="Georgia" w:hAnsi="Georgia"/>
          <w:b w:val="false"/>
          <w:bCs w:val="false"/>
          <w:i w:val="false"/>
          <w:iCs w:val="false"/>
          <w:color w:val="111111"/>
          <w:sz w:val="22"/>
          <w:szCs w:val="22"/>
        </w:rPr>
        <w:t xml:space="preserve">USGS seismic event feeds with magnitude-scaled markers, depth analysis, and historical cluster visualisation for global seismic monitoring.</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6.</w:t>
      </w:r>
      <w:r>
        <w:rPr>
          <w:rFonts w:ascii="Georgia" w:cs="Georgia" w:eastAsia="Georgia" w:hAnsi="Georgia"/>
          <w:b w:val="false"/>
          <w:bCs w:val="false"/>
          <w:i w:val="false"/>
          <w:iCs w:val="false"/>
          <w:color w:val="111111"/>
          <w:sz w:val="22"/>
          <w:szCs w:val="22"/>
        </w:rPr>
        <w:t xml:space="preserve"> Volcanic Activity Monitor.</w:t>
      </w:r>
    </w:p>
    <w:p>
      <w:pPr>
        <w:spacing w:before="0" w:after="100"/>
        <w:ind w:left="640"/>
        <w:jc w:val="both"/>
      </w:pPr>
      <w:r>
        <w:rPr>
          <w:rFonts w:ascii="Georgia" w:cs="Georgia" w:eastAsia="Georgia" w:hAnsi="Georgia"/>
          <w:b w:val="false"/>
          <w:bCs w:val="false"/>
          <w:i w:val="false"/>
          <w:iCs w:val="false"/>
          <w:color w:val="111111"/>
          <w:sz w:val="22"/>
          <w:szCs w:val="22"/>
        </w:rPr>
        <w:t xml:space="preserve">Smithsonian Institution Global Volcanism Program datasets tracking eruption status, alert levels, and historical activity for active volcanic systems worldwide.</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7.</w:t>
      </w:r>
      <w:r>
        <w:rPr>
          <w:rFonts w:ascii="Georgia" w:cs="Georgia" w:eastAsia="Georgia" w:hAnsi="Georgia"/>
          <w:b w:val="false"/>
          <w:bCs w:val="false"/>
          <w:i w:val="false"/>
          <w:iCs w:val="false"/>
          <w:color w:val="111111"/>
          <w:sz w:val="22"/>
          <w:szCs w:val="22"/>
        </w:rPr>
        <w:t xml:space="preserve"> Oil &amp; Gas Infrastructure.</w:t>
      </w:r>
    </w:p>
    <w:p>
      <w:pPr>
        <w:spacing w:before="0" w:after="100"/>
        <w:ind w:left="640"/>
        <w:jc w:val="both"/>
      </w:pPr>
      <w:r>
        <w:rPr>
          <w:rFonts w:ascii="Georgia" w:cs="Georgia" w:eastAsia="Georgia" w:hAnsi="Georgia"/>
          <w:b w:val="false"/>
          <w:bCs w:val="false"/>
          <w:i w:val="false"/>
          <w:iCs w:val="false"/>
          <w:color w:val="111111"/>
          <w:sz w:val="22"/>
          <w:szCs w:val="22"/>
        </w:rPr>
        <w:t xml:space="preserve">OpenStreetMap and open energy datasets mapping oil wells, refineries, LNG terminals, offshore platforms, and global pipeline networks.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8.</w:t>
      </w:r>
      <w:r>
        <w:rPr>
          <w:rFonts w:ascii="Georgia" w:cs="Georgia" w:eastAsia="Georgia" w:hAnsi="Georgia"/>
          <w:b w:val="false"/>
          <w:bCs w:val="false"/>
          <w:i w:val="false"/>
          <w:iCs w:val="false"/>
          <w:color w:val="111111"/>
          <w:sz w:val="22"/>
          <w:szCs w:val="22"/>
        </w:rPr>
        <w:t xml:space="preserve"> Power Grid Infrastructure.</w:t>
      </w:r>
    </w:p>
    <w:p>
      <w:pPr>
        <w:spacing w:before="0" w:after="100"/>
        <w:ind w:left="640"/>
        <w:jc w:val="both"/>
      </w:pPr>
      <w:r>
        <w:rPr>
          <w:rFonts w:ascii="Georgia" w:cs="Georgia" w:eastAsia="Georgia" w:hAnsi="Georgia"/>
          <w:b w:val="false"/>
          <w:bCs w:val="false"/>
          <w:i w:val="false"/>
          <w:iCs w:val="false"/>
          <w:color w:val="111111"/>
          <w:sz w:val="22"/>
          <w:szCs w:val="22"/>
        </w:rPr>
        <w:t xml:space="preserve">Open Infrastructure Map datasets visualising power plants, substations, and high-voltage transmission corridors across all major economies.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9.</w:t>
      </w:r>
      <w:r>
        <w:rPr>
          <w:rFonts w:ascii="Georgia" w:cs="Georgia" w:eastAsia="Georgia" w:hAnsi="Georgia"/>
          <w:b w:val="false"/>
          <w:bCs w:val="false"/>
          <w:i w:val="false"/>
          <w:iCs w:val="false"/>
          <w:color w:val="111111"/>
          <w:sz w:val="22"/>
          <w:szCs w:val="22"/>
        </w:rPr>
        <w:t xml:space="preserve"> Global Ports &amp; Shipping Terminals.</w:t>
      </w:r>
    </w:p>
    <w:p>
      <w:pPr>
        <w:spacing w:before="0" w:after="100"/>
        <w:ind w:left="640"/>
        <w:jc w:val="both"/>
      </w:pPr>
      <w:r>
        <w:rPr>
          <w:rFonts w:ascii="Georgia" w:cs="Georgia" w:eastAsia="Georgia" w:hAnsi="Georgia"/>
          <w:b w:val="false"/>
          <w:bCs w:val="false"/>
          <w:i w:val="false"/>
          <w:iCs w:val="false"/>
          <w:color w:val="111111"/>
          <w:sz w:val="22"/>
          <w:szCs w:val="22"/>
        </w:rPr>
        <w:t xml:space="preserve">Major port infrastructure mapped with real-time vessel density, cargo throughput indicators, and congestion alert overlays.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10.</w:t>
      </w:r>
      <w:r>
        <w:rPr>
          <w:rFonts w:ascii="Georgia" w:cs="Georgia" w:eastAsia="Georgia" w:hAnsi="Georgia"/>
          <w:b w:val="false"/>
          <w:bCs w:val="false"/>
          <w:i w:val="false"/>
          <w:iCs w:val="false"/>
          <w:color w:val="111111"/>
          <w:sz w:val="22"/>
          <w:szCs w:val="22"/>
        </w:rPr>
        <w:t xml:space="preserve"> Strategic Maritime Chokepoints.</w:t>
      </w:r>
    </w:p>
    <w:p>
      <w:pPr>
        <w:spacing w:before="0" w:after="100"/>
        <w:ind w:left="640"/>
        <w:jc w:val="both"/>
      </w:pPr>
      <w:r>
        <w:rPr>
          <w:rFonts w:ascii="Georgia" w:cs="Georgia" w:eastAsia="Georgia" w:hAnsi="Georgia"/>
          <w:b w:val="false"/>
          <w:bCs w:val="false"/>
          <w:i w:val="false"/>
          <w:iCs w:val="false"/>
          <w:color w:val="111111"/>
          <w:sz w:val="22"/>
          <w:szCs w:val="22"/>
        </w:rPr>
        <w:t xml:space="preserve">Dedicated monitoring layer for the Strait of Hormuz, Malacca Strait, Bab-el-Mandeb, Suez Canal, Panama Canal, and Turkish Straits, with real-time traffic density and incident alerts.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11.</w:t>
      </w:r>
      <w:r>
        <w:rPr>
          <w:rFonts w:ascii="Georgia" w:cs="Georgia" w:eastAsia="Georgia" w:hAnsi="Georgia"/>
          <w:b w:val="false"/>
          <w:bCs w:val="false"/>
          <w:i w:val="false"/>
          <w:iCs w:val="false"/>
          <w:color w:val="111111"/>
          <w:sz w:val="22"/>
          <w:szCs w:val="22"/>
        </w:rPr>
        <w:t xml:space="preserve"> Military Base Locations.</w:t>
      </w:r>
    </w:p>
    <w:p>
      <w:pPr>
        <w:spacing w:before="0" w:after="100"/>
        <w:ind w:left="640"/>
        <w:jc w:val="both"/>
      </w:pPr>
      <w:r>
        <w:rPr>
          <w:rFonts w:ascii="Georgia" w:cs="Georgia" w:eastAsia="Georgia" w:hAnsi="Georgia"/>
          <w:b w:val="false"/>
          <w:bCs w:val="false"/>
          <w:i w:val="false"/>
          <w:iCs w:val="false"/>
          <w:color w:val="111111"/>
          <w:sz w:val="22"/>
          <w:szCs w:val="22"/>
        </w:rPr>
        <w:t xml:space="preserve">Open-source defence infrastructure datasets covering air bases, naval installations, identified missile sites, and forward operating locations globally.</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12.</w:t>
      </w:r>
      <w:r>
        <w:rPr>
          <w:rFonts w:ascii="Georgia" w:cs="Georgia" w:eastAsia="Georgia" w:hAnsi="Georgia"/>
          <w:b w:val="false"/>
          <w:bCs w:val="false"/>
          <w:i w:val="false"/>
          <w:iCs w:val="false"/>
          <w:color w:val="111111"/>
          <w:sz w:val="22"/>
          <w:szCs w:val="22"/>
        </w:rPr>
        <w:t xml:space="preserve"> Conflict Incident Monitor.</w:t>
      </w:r>
    </w:p>
    <w:p>
      <w:pPr>
        <w:spacing w:before="0" w:after="100"/>
        <w:ind w:left="640"/>
        <w:jc w:val="both"/>
      </w:pPr>
      <w:r>
        <w:rPr>
          <w:rFonts w:ascii="Georgia" w:cs="Georgia" w:eastAsia="Georgia" w:hAnsi="Georgia"/>
          <w:b w:val="false"/>
          <w:bCs w:val="false"/>
          <w:i w:val="false"/>
          <w:iCs w:val="false"/>
          <w:color w:val="111111"/>
          <w:sz w:val="22"/>
          <w:szCs w:val="22"/>
        </w:rPr>
        <w:t xml:space="preserve">GDELT dataset integration providing geolocated conflict events, political violence incidents, protests, and security developments updated on a continuous basis.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13.</w:t>
      </w:r>
      <w:r>
        <w:rPr>
          <w:rFonts w:ascii="Georgia" w:cs="Georgia" w:eastAsia="Georgia" w:hAnsi="Georgia"/>
          <w:b w:val="false"/>
          <w:bCs w:val="false"/>
          <w:i w:val="false"/>
          <w:iCs w:val="false"/>
          <w:color w:val="111111"/>
          <w:sz w:val="22"/>
          <w:szCs w:val="22"/>
        </w:rPr>
        <w:t xml:space="preserve"> Global Weather Systems.</w:t>
      </w:r>
    </w:p>
    <w:p>
      <w:pPr>
        <w:spacing w:before="0" w:after="100"/>
        <w:ind w:left="640"/>
        <w:jc w:val="both"/>
      </w:pPr>
      <w:r>
        <w:rPr>
          <w:rFonts w:ascii="Georgia" w:cs="Georgia" w:eastAsia="Georgia" w:hAnsi="Georgia"/>
          <w:b w:val="false"/>
          <w:bCs w:val="false"/>
          <w:i w:val="false"/>
          <w:iCs w:val="false"/>
          <w:color w:val="111111"/>
          <w:sz w:val="22"/>
          <w:szCs w:val="22"/>
        </w:rPr>
        <w:t xml:space="preserve">NOAA atmospheric feeds tracking hurricanes, typhoons, cyclones, and major storm systems with projected track and intensity overlays.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14.</w:t>
      </w:r>
      <w:r>
        <w:rPr>
          <w:rFonts w:ascii="Georgia" w:cs="Georgia" w:eastAsia="Georgia" w:hAnsi="Georgia"/>
          <w:b w:val="false"/>
          <w:bCs w:val="false"/>
          <w:i w:val="false"/>
          <w:iCs w:val="false"/>
          <w:color w:val="111111"/>
          <w:sz w:val="22"/>
          <w:szCs w:val="22"/>
        </w:rPr>
        <w:t xml:space="preserve"> Flood Detection &amp; Risk.</w:t>
      </w:r>
    </w:p>
    <w:p>
      <w:pPr>
        <w:spacing w:before="0" w:after="100"/>
        <w:ind w:left="640"/>
        <w:jc w:val="both"/>
      </w:pPr>
      <w:r>
        <w:rPr>
          <w:rFonts w:ascii="Georgia" w:cs="Georgia" w:eastAsia="Georgia" w:hAnsi="Georgia"/>
          <w:b w:val="false"/>
          <w:bCs w:val="false"/>
          <w:i w:val="false"/>
          <w:iCs w:val="false"/>
          <w:color w:val="111111"/>
          <w:sz w:val="22"/>
          <w:szCs w:val="22"/>
        </w:rPr>
        <w:t xml:space="preserve">NASA Global Flood Database and Dartmouth Flood Observatory data providing flood extent mapping and at-risk area identification.</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15.</w:t>
      </w:r>
      <w:r>
        <w:rPr>
          <w:rFonts w:ascii="Georgia" w:cs="Georgia" w:eastAsia="Georgia" w:hAnsi="Georgia"/>
          <w:b w:val="false"/>
          <w:bCs w:val="false"/>
          <w:i w:val="false"/>
          <w:iCs w:val="false"/>
          <w:color w:val="111111"/>
          <w:sz w:val="22"/>
          <w:szCs w:val="22"/>
        </w:rPr>
        <w:t xml:space="preserve"> Global Mining Operations.</w:t>
      </w:r>
    </w:p>
    <w:p>
      <w:pPr>
        <w:spacing w:before="0" w:after="100"/>
        <w:ind w:left="640"/>
        <w:jc w:val="both"/>
      </w:pPr>
      <w:r>
        <w:rPr>
          <w:rFonts w:ascii="Georgia" w:cs="Georgia" w:eastAsia="Georgia" w:hAnsi="Georgia"/>
          <w:b w:val="false"/>
          <w:bCs w:val="false"/>
          <w:i w:val="false"/>
          <w:iCs w:val="false"/>
          <w:color w:val="111111"/>
          <w:sz w:val="22"/>
          <w:szCs w:val="22"/>
        </w:rPr>
        <w:t xml:space="preserve">Comprehensive mapping of major mine locations, quarries, and resource extraction zones across all primary mineral and energy categories.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16.</w:t>
      </w:r>
      <w:r>
        <w:rPr>
          <w:rFonts w:ascii="Georgia" w:cs="Georgia" w:eastAsia="Georgia" w:hAnsi="Georgia"/>
          <w:b w:val="false"/>
          <w:bCs w:val="false"/>
          <w:i w:val="false"/>
          <w:iCs w:val="false"/>
          <w:color w:val="111111"/>
          <w:sz w:val="22"/>
          <w:szCs w:val="22"/>
        </w:rPr>
        <w:t xml:space="preserve"> Pipeline Network.</w:t>
      </w:r>
    </w:p>
    <w:p>
      <w:pPr>
        <w:spacing w:before="0" w:after="100"/>
        <w:ind w:left="640"/>
        <w:jc w:val="both"/>
      </w:pPr>
      <w:r>
        <w:rPr>
          <w:rFonts w:ascii="Georgia" w:cs="Georgia" w:eastAsia="Georgia" w:hAnsi="Georgia"/>
          <w:b w:val="false"/>
          <w:bCs w:val="false"/>
          <w:i w:val="false"/>
          <w:iCs w:val="false"/>
          <w:color w:val="111111"/>
          <w:sz w:val="22"/>
          <w:szCs w:val="22"/>
        </w:rPr>
        <w:t xml:space="preserve">Global oil and natural gas pipeline infrastructure visualisation, including onshore and offshore pipelines with operator and capacity metadata.</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17.</w:t>
      </w:r>
      <w:r>
        <w:rPr>
          <w:rFonts w:ascii="Georgia" w:cs="Georgia" w:eastAsia="Georgia" w:hAnsi="Georgia"/>
          <w:b w:val="false"/>
          <w:bCs w:val="false"/>
          <w:i w:val="false"/>
          <w:iCs w:val="false"/>
          <w:color w:val="111111"/>
          <w:sz w:val="22"/>
          <w:szCs w:val="22"/>
        </w:rPr>
        <w:t xml:space="preserve"> Global Internet Infrastructure.</w:t>
      </w:r>
    </w:p>
    <w:p>
      <w:pPr>
        <w:spacing w:before="0" w:after="100"/>
        <w:ind w:left="640"/>
        <w:jc w:val="both"/>
      </w:pPr>
      <w:r>
        <w:rPr>
          <w:rFonts w:ascii="Georgia" w:cs="Georgia" w:eastAsia="Georgia" w:hAnsi="Georgia"/>
          <w:b w:val="false"/>
          <w:bCs w:val="false"/>
          <w:i w:val="false"/>
          <w:iCs w:val="false"/>
          <w:color w:val="111111"/>
          <w:sz w:val="22"/>
          <w:szCs w:val="22"/>
        </w:rPr>
        <w:t xml:space="preserve">Submarine cable route mapping, internet exchange point locations, and major data centre facilities — critical for telecommunications risk and cyber-infrastructure analysis.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18.</w:t>
      </w:r>
      <w:r>
        <w:rPr>
          <w:rFonts w:ascii="Georgia" w:cs="Georgia" w:eastAsia="Georgia" w:hAnsi="Georgia"/>
          <w:b w:val="false"/>
          <w:bCs w:val="false"/>
          <w:i w:val="false"/>
          <w:iCs w:val="false"/>
          <w:color w:val="111111"/>
          <w:sz w:val="22"/>
          <w:szCs w:val="22"/>
        </w:rPr>
        <w:t xml:space="preserve"> Airspace Restrictions.</w:t>
      </w:r>
    </w:p>
    <w:p>
      <w:pPr>
        <w:spacing w:before="0" w:after="100"/>
        <w:ind w:left="640"/>
        <w:jc w:val="both"/>
      </w:pPr>
      <w:r>
        <w:rPr>
          <w:rFonts w:ascii="Georgia" w:cs="Georgia" w:eastAsia="Georgia" w:hAnsi="Georgia"/>
          <w:b w:val="false"/>
          <w:bCs w:val="false"/>
          <w:i w:val="false"/>
          <w:iCs w:val="false"/>
          <w:color w:val="111111"/>
          <w:sz w:val="22"/>
          <w:szCs w:val="22"/>
        </w:rPr>
        <w:t xml:space="preserve">Aviation NOTAM datasets providing real-time temporary flight restrictions, closed airspace zones, and active conflict airspace overlays.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19.</w:t>
      </w:r>
      <w:r>
        <w:rPr>
          <w:rFonts w:ascii="Georgia" w:cs="Georgia" w:eastAsia="Georgia" w:hAnsi="Georgia"/>
          <w:b w:val="false"/>
          <w:bCs w:val="false"/>
          <w:i w:val="false"/>
          <w:iCs w:val="false"/>
          <w:color w:val="111111"/>
          <w:sz w:val="22"/>
          <w:szCs w:val="22"/>
        </w:rPr>
        <w:t xml:space="preserve"> Multispectral Satellite Imagery.</w:t>
      </w:r>
    </w:p>
    <w:p>
      <w:pPr>
        <w:spacing w:before="0" w:after="100"/>
        <w:ind w:left="640"/>
        <w:jc w:val="both"/>
      </w:pPr>
      <w:r>
        <w:rPr>
          <w:rFonts w:ascii="Georgia" w:cs="Georgia" w:eastAsia="Georgia" w:hAnsi="Georgia"/>
          <w:b w:val="false"/>
          <w:bCs w:val="false"/>
          <w:i w:val="false"/>
          <w:iCs w:val="false"/>
          <w:color w:val="111111"/>
          <w:sz w:val="22"/>
          <w:szCs w:val="22"/>
        </w:rPr>
        <w:t xml:space="preserve">NASA EarthData and ESA Sentinel multispectral imagery with a historical time-slider for change detection, vegetation analysis, and environmental monitoring.</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20.</w:t>
      </w:r>
      <w:r>
        <w:rPr>
          <w:rFonts w:ascii="Georgia" w:cs="Georgia" w:eastAsia="Georgia" w:hAnsi="Georgia"/>
          <w:b w:val="false"/>
          <w:bCs w:val="false"/>
          <w:i w:val="false"/>
          <w:iCs w:val="false"/>
          <w:color w:val="111111"/>
          <w:sz w:val="22"/>
          <w:szCs w:val="22"/>
        </w:rPr>
        <w:t xml:space="preserve"> Maritime Dark Ship Detection.</w:t>
      </w:r>
    </w:p>
    <w:p>
      <w:pPr>
        <w:spacing w:before="0" w:after="100"/>
        <w:ind w:left="640"/>
        <w:jc w:val="both"/>
      </w:pPr>
      <w:r>
        <w:rPr>
          <w:rFonts w:ascii="Georgia" w:cs="Georgia" w:eastAsia="Georgia" w:hAnsi="Georgia"/>
          <w:b w:val="false"/>
          <w:bCs w:val="false"/>
          <w:i w:val="false"/>
          <w:iCs w:val="false"/>
          <w:color w:val="111111"/>
          <w:sz w:val="22"/>
          <w:szCs w:val="22"/>
        </w:rPr>
        <w:t xml:space="preserve">Proprietary detection layer correlating AIS transponder blackout events with SAR satellite imagery to identify vessels operating without position broadcasts — a critical signal for sanctions monitoring, illicit cargo detection, and naval intelligence operations.</w:t>
      </w:r>
    </w:p>
    <w:p>
      <w:pPr>
        <w:spacing w:before="0" w:after="120"/>
      </w:pPr>
      <w:r>
        <w:t xml:space="preserve"/>
      </w:r>
    </w:p>
    <w:p>
      <w:pPr>
        <w:spacing w:before="0" w:after="120"/>
      </w:pPr>
      <w:r>
        <w:t xml:space="preserve"/>
      </w:r>
    </w:p>
    <w:p>
      <w:pPr>
        <w:pBdr>
          <w:bottom w:val="single" w:color="007BA8" w:sz="6" w:space="4"/>
        </w:pBdr>
        <w:spacing w:before="0" w:after="80"/>
      </w:pPr>
      <w:r>
        <w:rPr>
          <w:rFonts w:ascii="Arial" w:cs="Arial" w:eastAsia="Arial" w:hAnsi="Arial"/>
          <w:b/>
          <w:bCs/>
          <w:color w:val="08122A"/>
          <w:spacing w:val="80"/>
          <w:sz w:val="19"/>
          <w:szCs w:val="19"/>
        </w:rPr>
        <w:t xml:space="preserve">MARKET INTELLIGENCE LAYERS (LAYERS 21–30)</w:t>
      </w:r>
    </w:p>
    <w:p>
      <w:pPr>
        <w:spacing w:before="0" w:after="60"/>
      </w:pPr>
      <w:r>
        <w:t xml:space="preserve"/>
      </w:r>
    </w:p>
    <w:p>
      <w:pPr>
        <w:spacing w:before="0" w:after="200"/>
        <w:jc w:val="both"/>
      </w:pPr>
      <w:r>
        <w:rPr>
          <w:rFonts w:ascii="Georgia" w:cs="Georgia" w:eastAsia="Georgia" w:hAnsi="Georgia"/>
          <w:b w:val="false"/>
          <w:bCs w:val="false"/>
          <w:i w:val="false"/>
          <w:iCs w:val="false"/>
          <w:color w:val="111111"/>
          <w:sz w:val="22"/>
          <w:szCs w:val="22"/>
        </w:rPr>
        <w:t xml:space="preserve">PolyMatic introduces a category-defining expansion of the geospatial intelligence market with the launch of ten dedicated Market Intelligence Layers — the industry’s first commercial integration of live commodity market data, supply chain telemetry, and geospatial OSINT signals within a unified spatial analytics platform. These overlays are purpose-built for commodity trading desks, macro investment funds, corporate supply chain risk officers, energy analysts, and geopolitical intelligence consumers.</w:t>
      </w:r>
    </w:p>
    <w:p>
      <w:pPr>
        <w:spacing w:before="0" w:after="80"/>
      </w:pPr>
      <w:r>
        <w:t xml:space="preserve"/>
      </w:r>
    </w:p>
    <w:p>
      <w:pPr>
        <w:pBdr>
          <w:left w:val="single" w:color="007BA8" w:sz="24" w:space="14"/>
        </w:pBdr>
        <w:spacing w:before="0" w:after="60"/>
        <w:ind w:left="600" w:right="600"/>
        <w:jc w:val="both"/>
      </w:pPr>
      <w:r>
        <w:rPr>
          <w:rFonts w:ascii="Georgia" w:cs="Georgia" w:eastAsia="Georgia" w:hAnsi="Georgia"/>
          <w:i/>
          <w:iCs/>
          <w:color w:val="1A2840"/>
          <w:sz w:val="23"/>
          <w:szCs w:val="23"/>
        </w:rPr>
        <w:t xml:space="preserve">“For the first time, an analyst can observe a mine shutdown via satellite imagery, watch the AIS export flow from the affected port contract in real time, and receive an AI-generated price shock alert — all within a single interface. That is a fundamentally new capability for both financial markets and geopolitical analysis.”</w:t>
      </w:r>
    </w:p>
    <w:p>
      <w:pPr>
        <w:spacing w:before="0" w:after="80"/>
        <w:ind w:left="600"/>
      </w:pPr>
      <w:r>
        <w:rPr>
          <w:rFonts w:ascii="Arial" w:cs="Arial" w:eastAsia="Arial" w:hAnsi="Arial"/>
          <w:b/>
          <w:bCs/>
          <w:color w:val="4A5568"/>
          <w:sz w:val="19"/>
          <w:szCs w:val="19"/>
        </w:rPr>
        <w:t xml:space="preserve">— Chief Product Officer, Platform6ix Inc.</w:t>
      </w:r>
    </w:p>
    <w:p>
      <w:pPr>
        <w:spacing w:before="0" w:after="80"/>
      </w:pPr>
      <w:r>
        <w:t xml:space="preserve"/>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21.</w:t>
      </w:r>
      <w:r>
        <w:rPr>
          <w:rFonts w:ascii="Georgia" w:cs="Georgia" w:eastAsia="Georgia" w:hAnsi="Georgia"/>
          <w:b w:val="false"/>
          <w:bCs w:val="false"/>
          <w:i w:val="false"/>
          <w:iCs w:val="false"/>
          <w:color w:val="111111"/>
          <w:sz w:val="22"/>
          <w:szCs w:val="22"/>
        </w:rPr>
        <w:t xml:space="preserve"> Global Commodity Price Heatmap.</w:t>
      </w:r>
    </w:p>
    <w:p>
      <w:pPr>
        <w:spacing w:before="0" w:after="100"/>
        <w:ind w:left="640"/>
        <w:jc w:val="both"/>
      </w:pPr>
      <w:r>
        <w:rPr>
          <w:rFonts w:ascii="Georgia" w:cs="Georgia" w:eastAsia="Georgia" w:hAnsi="Georgia"/>
          <w:b w:val="false"/>
          <w:bCs w:val="false"/>
          <w:i w:val="false"/>
          <w:iCs w:val="false"/>
          <w:color w:val="111111"/>
          <w:sz w:val="22"/>
          <w:szCs w:val="22"/>
        </w:rPr>
        <w:t xml:space="preserve">An interactive world heatmap mapping live commodity prices — sourced from TwelveData, FinancialModelingPrep, and Databento APIs — to their primary production regions, with top-movers, price volatility indicators, and filters across energy, metals, and agricultural categories.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22.</w:t>
      </w:r>
      <w:r>
        <w:rPr>
          <w:rFonts w:ascii="Georgia" w:cs="Georgia" w:eastAsia="Georgia" w:hAnsi="Georgia"/>
          <w:b w:val="false"/>
          <w:bCs w:val="false"/>
          <w:i w:val="false"/>
          <w:iCs w:val="false"/>
          <w:color w:val="111111"/>
          <w:sz w:val="22"/>
          <w:szCs w:val="22"/>
        </w:rPr>
        <w:t xml:space="preserve"> Precious Metals Market Intelligence.</w:t>
      </w:r>
    </w:p>
    <w:p>
      <w:pPr>
        <w:spacing w:before="0" w:after="100"/>
        <w:ind w:left="640"/>
        <w:jc w:val="both"/>
      </w:pPr>
      <w:r>
        <w:rPr>
          <w:rFonts w:ascii="Georgia" w:cs="Georgia" w:eastAsia="Georgia" w:hAnsi="Georgia"/>
          <w:b w:val="false"/>
          <w:bCs w:val="false"/>
          <w:i w:val="false"/>
          <w:iCs w:val="false"/>
          <w:color w:val="111111"/>
          <w:sz w:val="22"/>
          <w:szCs w:val="22"/>
        </w:rPr>
        <w:t xml:space="preserve">Real-time price tracking and geospatial analysis for gold, silver, platinum, and palladium, correlated with mine locations, refinery infrastructure, and OSINT-sourced supply disruption signals. Mine disruption events are automatically flagged against price movements to surface actionable intelligence briefs.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23.</w:t>
      </w:r>
      <w:r>
        <w:rPr>
          <w:rFonts w:ascii="Georgia" w:cs="Georgia" w:eastAsia="Georgia" w:hAnsi="Georgia"/>
          <w:b w:val="false"/>
          <w:bCs w:val="false"/>
          <w:i w:val="false"/>
          <w:iCs w:val="false"/>
          <w:color w:val="111111"/>
          <w:sz w:val="22"/>
          <w:szCs w:val="22"/>
        </w:rPr>
        <w:t xml:space="preserve"> Industrial Metals Supply Chain.</w:t>
      </w:r>
    </w:p>
    <w:p>
      <w:pPr>
        <w:spacing w:before="0" w:after="100"/>
        <w:ind w:left="640"/>
        <w:jc w:val="both"/>
      </w:pPr>
      <w:r>
        <w:rPr>
          <w:rFonts w:ascii="Georgia" w:cs="Georgia" w:eastAsia="Georgia" w:hAnsi="Georgia"/>
          <w:b w:val="false"/>
          <w:bCs w:val="false"/>
          <w:i w:val="false"/>
          <w:iCs w:val="false"/>
          <w:color w:val="111111"/>
          <w:sz w:val="22"/>
          <w:szCs w:val="22"/>
        </w:rPr>
        <w:t xml:space="preserve">Supply chain intelligence for copper, aluminium, nickel, zinc, and steel, integrating global mine locations, smelter and refinery infrastructure, and automated mine shutdown alert detection. Provides early-warning signals for supply shortages ahead of price market impact.</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24.</w:t>
      </w:r>
      <w:r>
        <w:rPr>
          <w:rFonts w:ascii="Georgia" w:cs="Georgia" w:eastAsia="Georgia" w:hAnsi="Georgia"/>
          <w:b w:val="false"/>
          <w:bCs w:val="false"/>
          <w:i w:val="false"/>
          <w:iCs w:val="false"/>
          <w:color w:val="111111"/>
          <w:sz w:val="22"/>
          <w:szCs w:val="22"/>
        </w:rPr>
        <w:t xml:space="preserve"> Rare Earth Elements Intelligence.</w:t>
      </w:r>
    </w:p>
    <w:p>
      <w:pPr>
        <w:spacing w:before="0" w:after="100"/>
        <w:ind w:left="640"/>
        <w:jc w:val="both"/>
      </w:pPr>
      <w:r>
        <w:rPr>
          <w:rFonts w:ascii="Georgia" w:cs="Georgia" w:eastAsia="Georgia" w:hAnsi="Georgia"/>
          <w:b w:val="false"/>
          <w:bCs w:val="false"/>
          <w:i w:val="false"/>
          <w:iCs w:val="false"/>
          <w:color w:val="111111"/>
          <w:sz w:val="22"/>
          <w:szCs w:val="22"/>
        </w:rPr>
        <w:t xml:space="preserve">Critical mineral supply chain monitoring for lithium, cobalt, neodymium, gallium, and tungsten — the foundational materials of electric vehicle batteries, defence electronics, and semiconductor manufacturing — with automated EV supply chain bottleneck analysis.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25.</w:t>
      </w:r>
      <w:r>
        <w:rPr>
          <w:rFonts w:ascii="Georgia" w:cs="Georgia" w:eastAsia="Georgia" w:hAnsi="Georgia"/>
          <w:b w:val="false"/>
          <w:bCs w:val="false"/>
          <w:i w:val="false"/>
          <w:iCs w:val="false"/>
          <w:color w:val="111111"/>
          <w:sz w:val="22"/>
          <w:szCs w:val="22"/>
        </w:rPr>
        <w:t xml:space="preserve"> Global Agricultural Commodities Dashboard.</w:t>
      </w:r>
    </w:p>
    <w:p>
      <w:pPr>
        <w:spacing w:before="0" w:after="100"/>
        <w:ind w:left="640"/>
        <w:jc w:val="both"/>
      </w:pPr>
      <w:r>
        <w:rPr>
          <w:rFonts w:ascii="Georgia" w:cs="Georgia" w:eastAsia="Georgia" w:hAnsi="Georgia"/>
          <w:b w:val="false"/>
          <w:bCs w:val="false"/>
          <w:i w:val="false"/>
          <w:iCs w:val="false"/>
          <w:color w:val="111111"/>
          <w:sz w:val="22"/>
          <w:szCs w:val="22"/>
        </w:rPr>
        <w:t xml:space="preserve">Live price tracking for wheat, corn, soybeans, rice, coffee, and sugar, sourced from USDA datasets and commodity price APIs, with harvest season calendars, weather impact overlays, and regional supply disruption alerts.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26.</w:t>
      </w:r>
      <w:r>
        <w:rPr>
          <w:rFonts w:ascii="Georgia" w:cs="Georgia" w:eastAsia="Georgia" w:hAnsi="Georgia"/>
          <w:b w:val="false"/>
          <w:bCs w:val="false"/>
          <w:i w:val="false"/>
          <w:iCs w:val="false"/>
          <w:color w:val="111111"/>
          <w:sz w:val="22"/>
          <w:szCs w:val="22"/>
        </w:rPr>
        <w:t xml:space="preserve"> Crop Yield Monitoring.</w:t>
      </w:r>
    </w:p>
    <w:p>
      <w:pPr>
        <w:spacing w:before="0" w:after="100"/>
        <w:ind w:left="640"/>
        <w:jc w:val="both"/>
      </w:pPr>
      <w:r>
        <w:rPr>
          <w:rFonts w:ascii="Georgia" w:cs="Georgia" w:eastAsia="Georgia" w:hAnsi="Georgia"/>
          <w:b w:val="false"/>
          <w:bCs w:val="false"/>
          <w:i w:val="false"/>
          <w:iCs w:val="false"/>
          <w:color w:val="111111"/>
          <w:sz w:val="22"/>
          <w:szCs w:val="22"/>
        </w:rPr>
        <w:t xml:space="preserve">Sentinel-2 satellite NDVI vegetation index analysis across all major agricultural regions, updated on a five-day cadence, with yield forecast modelling and drought impact scoring to support early commodity positioning.</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27.</w:t>
      </w:r>
      <w:r>
        <w:rPr>
          <w:rFonts w:ascii="Georgia" w:cs="Georgia" w:eastAsia="Georgia" w:hAnsi="Georgia"/>
          <w:b w:val="false"/>
          <w:bCs w:val="false"/>
          <w:i w:val="false"/>
          <w:iCs w:val="false"/>
          <w:color w:val="111111"/>
          <w:sz w:val="22"/>
          <w:szCs w:val="22"/>
        </w:rPr>
        <w:t xml:space="preserve"> Global Food Supply Chain Monitor.</w:t>
      </w:r>
    </w:p>
    <w:p>
      <w:pPr>
        <w:spacing w:before="0" w:after="100"/>
        <w:ind w:left="640"/>
        <w:jc w:val="both"/>
      </w:pPr>
      <w:r>
        <w:rPr>
          <w:rFonts w:ascii="Georgia" w:cs="Georgia" w:eastAsia="Georgia" w:hAnsi="Georgia"/>
          <w:b w:val="false"/>
          <w:bCs w:val="false"/>
          <w:i w:val="false"/>
          <w:iCs w:val="false"/>
          <w:color w:val="111111"/>
          <w:sz w:val="22"/>
          <w:szCs w:val="22"/>
        </w:rPr>
        <w:t xml:space="preserve">End-to-end food supply chain visualisation covering grain storage facilities, export terminal infrastructure, active food shipping routes, and AI-scored food shortage risk alerts. Tracks embargo and export restriction policies against physical supply chain signals in real time.</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28.</w:t>
      </w:r>
      <w:r>
        <w:rPr>
          <w:rFonts w:ascii="Georgia" w:cs="Georgia" w:eastAsia="Georgia" w:hAnsi="Georgia"/>
          <w:b w:val="false"/>
          <w:bCs w:val="false"/>
          <w:i w:val="false"/>
          <w:iCs w:val="false"/>
          <w:color w:val="111111"/>
          <w:sz w:val="22"/>
          <w:szCs w:val="22"/>
        </w:rPr>
        <w:t xml:space="preserve"> Energy Commodity Intelligence.</w:t>
      </w:r>
    </w:p>
    <w:p>
      <w:pPr>
        <w:spacing w:before="0" w:after="100"/>
        <w:ind w:left="640"/>
        <w:jc w:val="both"/>
      </w:pPr>
      <w:r>
        <w:rPr>
          <w:rFonts w:ascii="Georgia" w:cs="Georgia" w:eastAsia="Georgia" w:hAnsi="Georgia"/>
          <w:b w:val="false"/>
          <w:bCs w:val="false"/>
          <w:i w:val="false"/>
          <w:iCs w:val="false"/>
          <w:color w:val="111111"/>
          <w:sz w:val="22"/>
          <w:szCs w:val="22"/>
        </w:rPr>
        <w:t xml:space="preserve">Comprehensive dashboard for WTI crude, Brent crude, natural gas, coal, and uranium, overlaid on production region maps and pipeline infrastructure. Live OSINT-sourced disruption signals — including refinery outages, pipeline incidents, and port blockages — are correlated with price feed data to generate production disruption intelligence.</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29.</w:t>
      </w:r>
      <w:r>
        <w:rPr>
          <w:rFonts w:ascii="Georgia" w:cs="Georgia" w:eastAsia="Georgia" w:hAnsi="Georgia"/>
          <w:b w:val="false"/>
          <w:bCs w:val="false"/>
          <w:i w:val="false"/>
          <w:iCs w:val="false"/>
          <w:color w:val="111111"/>
          <w:sz w:val="22"/>
          <w:szCs w:val="22"/>
        </w:rPr>
        <w:t xml:space="preserve"> Global Mineral Export Flows.</w:t>
      </w:r>
    </w:p>
    <w:p>
      <w:pPr>
        <w:spacing w:before="0" w:after="100"/>
        <w:ind w:left="640"/>
        <w:jc w:val="both"/>
      </w:pPr>
      <w:r>
        <w:rPr>
          <w:rFonts w:ascii="Georgia" w:cs="Georgia" w:eastAsia="Georgia" w:hAnsi="Georgia"/>
          <w:b w:val="false"/>
          <w:bCs w:val="false"/>
          <w:i w:val="false"/>
          <w:iCs w:val="false"/>
          <w:color w:val="111111"/>
          <w:sz w:val="22"/>
          <w:szCs w:val="22"/>
        </w:rPr>
        <w:t xml:space="preserve">Bulk cargo shipment tracking integrating AIS vessel telemetry with port throughput data to monitor trade corridors for iron ore, copper, LNG, lithium, cobalt, and wheat. Provides quantified flow analysis by origin, destination, volume, and disruption status across more than twelve major global trade corridors.</w:t>
      </w:r>
    </w:p>
    <w:p>
      <w:pPr>
        <w:pStyle w:val="ListParagraph"/>
        <w:numPr>
          <w:ilvl w:val="0"/>
          <w:numId w:val="2"/>
        </w:numPr>
        <w:spacing w:before="40" w:after="100"/>
      </w:pPr>
      <w:r>
        <w:rPr>
          <w:rFonts w:ascii="Georgia" w:cs="Georgia" w:eastAsia="Georgia" w:hAnsi="Georgia"/>
          <w:b/>
          <w:bCs/>
          <w:i w:val="false"/>
          <w:iCs w:val="false"/>
          <w:color w:val="111111"/>
          <w:sz w:val="22"/>
          <w:szCs w:val="22"/>
        </w:rPr>
        <w:t xml:space="preserve">Layer 30.</w:t>
      </w:r>
      <w:r>
        <w:rPr>
          <w:rFonts w:ascii="Georgia" w:cs="Georgia" w:eastAsia="Georgia" w:hAnsi="Georgia"/>
          <w:b w:val="false"/>
          <w:bCs w:val="false"/>
          <w:i w:val="false"/>
          <w:iCs w:val="false"/>
          <w:color w:val="111111"/>
          <w:sz w:val="22"/>
          <w:szCs w:val="22"/>
        </w:rPr>
        <w:t xml:space="preserve"> Commodity Price Shock Detection.</w:t>
      </w:r>
    </w:p>
    <w:p>
      <w:pPr>
        <w:spacing w:before="0" w:after="100"/>
        <w:ind w:left="640"/>
        <w:jc w:val="both"/>
      </w:pPr>
      <w:r>
        <w:rPr>
          <w:rFonts w:ascii="Georgia" w:cs="Georgia" w:eastAsia="Georgia" w:hAnsi="Georgia"/>
          <w:b w:val="false"/>
          <w:bCs w:val="false"/>
          <w:i w:val="false"/>
          <w:iCs w:val="false"/>
          <w:color w:val="111111"/>
          <w:sz w:val="22"/>
          <w:szCs w:val="22"/>
        </w:rPr>
        <w:t xml:space="preserve">PolyMatic’s AI-powered detection layer continuously monitors commodity market data for sudden price anomalies and correlates detected movements with geopolitical events, supply disruption signals, and physical infrastructure data to generate confidence-scored intelligence alerts. Example output: “Copper prices rising 8.3% in 24 hours — probable mine disruption detected at Escondida facility, Chile — Confidence: 91%.”</w:t>
      </w:r>
    </w:p>
    <w:p>
      <w:pPr>
        <w:spacing w:before="0" w:after="120"/>
      </w:pPr>
      <w:r>
        <w:t xml:space="preserve"/>
      </w:r>
    </w:p>
    <w:p>
      <w:pPr>
        <w:spacing w:before="0" w:after="120"/>
      </w:pPr>
      <w:r>
        <w:t xml:space="preserve"/>
      </w:r>
    </w:p>
    <w:p>
      <w:pPr>
        <w:pBdr>
          <w:bottom w:val="single" w:color="007BA8" w:sz="6" w:space="4"/>
        </w:pBdr>
        <w:spacing w:before="0" w:after="80"/>
      </w:pPr>
      <w:r>
        <w:rPr>
          <w:rFonts w:ascii="Arial" w:cs="Arial" w:eastAsia="Arial" w:hAnsi="Arial"/>
          <w:b/>
          <w:bCs/>
          <w:color w:val="08122A"/>
          <w:spacing w:val="80"/>
          <w:sz w:val="19"/>
          <w:szCs w:val="19"/>
        </w:rPr>
        <w:t xml:space="preserve">AI INSIGHT ENGINE</w:t>
      </w:r>
    </w:p>
    <w:p>
      <w:pPr>
        <w:spacing w:before="0" w:after="60"/>
      </w:pPr>
      <w:r>
        <w:t xml:space="preserve"/>
      </w:r>
    </w:p>
    <w:p>
      <w:pPr>
        <w:spacing w:before="0" w:after="200"/>
        <w:jc w:val="both"/>
      </w:pPr>
      <w:r>
        <w:rPr>
          <w:rFonts w:ascii="Georgia" w:cs="Georgia" w:eastAsia="Georgia" w:hAnsi="Georgia"/>
          <w:b w:val="false"/>
          <w:bCs w:val="false"/>
          <w:i w:val="false"/>
          <w:iCs w:val="false"/>
          <w:color w:val="111111"/>
          <w:sz w:val="22"/>
          <w:szCs w:val="22"/>
        </w:rPr>
        <w:t xml:space="preserve">At the core of the PolyMatic platform is the AI Insight Engine — a proprietary signal correlation system that continuously monitors all active intelligence layers and automatically surfaces alerts when meaningful cross-domain patterns are detected. Unlike conventional monitoring tools that require analysts to manually correlate data across disconnected sources, PolyMatic’s AI layer performs this analysis autonomously and presents structured intelligence briefs with confidence scores, correlated signal citations, and recommended analyst actions.</w:t>
      </w:r>
    </w:p>
    <w:p>
      <w:pPr>
        <w:spacing w:before="0" w:after="120"/>
        <w:jc w:val="both"/>
      </w:pPr>
      <w:r>
        <w:rPr>
          <w:rFonts w:ascii="Georgia" w:cs="Georgia" w:eastAsia="Georgia" w:hAnsi="Georgia"/>
          <w:b w:val="false"/>
          <w:bCs w:val="false"/>
          <w:i w:val="false"/>
          <w:iCs w:val="false"/>
          <w:color w:val="111111"/>
          <w:sz w:val="22"/>
          <w:szCs w:val="22"/>
        </w:rPr>
        <w:t xml:space="preserve">Validated use cases for the AI Insight Engine at platform launch include:</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Tanker fleet clustering near strategic maritime chokepoints, correlated with refinery output analysis from multispectral satellite imagery, to detect probable oil export surges with confidence scores exceeding 85%.</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GPS interference pattern detection correlated with aircraft trajectory anomalies and active airspace restriction data to identify probable electronic warfare activity.</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Commodity price spike detection correlated with mine infrastructure satellite imagery, AIS export flow contraction data, and GDELT geopolitical event feeds to generate automated supply disruption intelligence briefs.</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Agricultural yield stress scoring combining Sentinel-2 NDVI analysis with weather system overlays and food shipping route data to provide forward-looking food security risk assessments.</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Dark vessel detection alerts correlating AIS blackout events with SAR satellite overpass data to identify probable sanctions evasion or illicit maritime activity.</w:t>
      </w:r>
    </w:p>
    <w:p>
      <w:pPr>
        <w:spacing w:before="0" w:after="120"/>
      </w:pPr>
      <w:r>
        <w:t xml:space="preserve"/>
      </w:r>
    </w:p>
    <w:p>
      <w:pPr>
        <w:spacing w:before="0" w:after="120"/>
      </w:pPr>
      <w:r>
        <w:t xml:space="preserve"/>
      </w:r>
    </w:p>
    <w:p>
      <w:pPr>
        <w:pBdr>
          <w:bottom w:val="single" w:color="007BA8" w:sz="6" w:space="4"/>
        </w:pBdr>
        <w:spacing w:before="0" w:after="80"/>
      </w:pPr>
      <w:r>
        <w:rPr>
          <w:rFonts w:ascii="Arial" w:cs="Arial" w:eastAsia="Arial" w:hAnsi="Arial"/>
          <w:b/>
          <w:bCs/>
          <w:color w:val="08122A"/>
          <w:spacing w:val="80"/>
          <w:sz w:val="19"/>
          <w:szCs w:val="19"/>
        </w:rPr>
        <w:t xml:space="preserve">TECHNOLOGY ARCHITECTURE</w:t>
      </w:r>
    </w:p>
    <w:p>
      <w:pPr>
        <w:spacing w:before="0" w:after="60"/>
      </w:pPr>
      <w:r>
        <w:t xml:space="preserve"/>
      </w:r>
    </w:p>
    <w:p>
      <w:pPr>
        <w:spacing w:before="0" w:after="200"/>
        <w:jc w:val="both"/>
      </w:pPr>
      <w:r>
        <w:rPr>
          <w:rFonts w:ascii="Georgia" w:cs="Georgia" w:eastAsia="Georgia" w:hAnsi="Georgia"/>
          <w:b w:val="false"/>
          <w:bCs w:val="false"/>
          <w:i w:val="false"/>
          <w:iCs w:val="false"/>
          <w:color w:val="111111"/>
          <w:sz w:val="22"/>
          <w:szCs w:val="22"/>
        </w:rPr>
        <w:t xml:space="preserve">PolyMatic is engineered on a production-grade distributed systems stack purpose-built for high-frequency geospatial data ingestion, processing, and real-time visualisation at global scale. The backend comprises Python-based ingestion workers, FastAPI gateway services, Apache Kafka and NATS messaging infrastructure for event streaming, and a PostGIS-enabled PostgreSQL database with TimescaleDB for time-series intelligence storage. Redis provides sub-millisecond caching for high-frequency entity state management across concurrent client sessions.</w:t>
      </w:r>
    </w:p>
    <w:p>
      <w:pPr>
        <w:spacing w:before="0" w:after="200"/>
        <w:jc w:val="both"/>
      </w:pPr>
      <w:r>
        <w:rPr>
          <w:rFonts w:ascii="Georgia" w:cs="Georgia" w:eastAsia="Georgia" w:hAnsi="Georgia"/>
          <w:b w:val="false"/>
          <w:bCs w:val="false"/>
          <w:i w:val="false"/>
          <w:iCs w:val="false"/>
          <w:color w:val="111111"/>
          <w:sz w:val="22"/>
          <w:szCs w:val="22"/>
        </w:rPr>
        <w:t xml:space="preserve">The frontend is engineered in React 18 with TypeScript, utilising CesiumJS for WebGL-accelerated 3D globe rendering, Zustand for distributed state management across overlay systems, and TanStack Query for efficient server-state synchronisation. The WebSocket streaming layer delivers entity updates at sub-100ms latency, supporting simultaneous visualisation of more than 10,000 tracked aircraft, 100,000 maritime vessels, 500 active satellites, and one billion historical geospatial events.</w:t>
      </w:r>
    </w:p>
    <w:p>
      <w:pPr>
        <w:spacing w:before="0" w:after="200"/>
        <w:jc w:val="both"/>
      </w:pPr>
      <w:r>
        <w:rPr>
          <w:rFonts w:ascii="Georgia" w:cs="Georgia" w:eastAsia="Georgia" w:hAnsi="Georgia"/>
          <w:b w:val="false"/>
          <w:bCs w:val="false"/>
          <w:i w:val="false"/>
          <w:iCs w:val="false"/>
          <w:color w:val="111111"/>
          <w:sz w:val="22"/>
          <w:szCs w:val="22"/>
        </w:rPr>
        <w:t xml:space="preserve">Platform infrastructure is deployed across multiple cloud availability zones with active-active redundancy, providing a 99.9% uptime SLA for Professional and Enterprise tier subscribers. All data in transit is encrypted via TLS 1.3; all data at rest is encrypted via AES-256.</w:t>
      </w:r>
    </w:p>
    <w:p>
      <w:pPr>
        <w:spacing w:before="0" w:after="120"/>
      </w:pPr>
      <w:r>
        <w:t xml:space="preserve"/>
      </w:r>
    </w:p>
    <w:p>
      <w:pPr>
        <w:pBdr>
          <w:bottom w:val="single" w:color="007BA8" w:sz="6" w:space="4"/>
        </w:pBdr>
        <w:spacing w:before="0" w:after="80"/>
      </w:pPr>
      <w:r>
        <w:rPr>
          <w:rFonts w:ascii="Arial" w:cs="Arial" w:eastAsia="Arial" w:hAnsi="Arial"/>
          <w:b/>
          <w:bCs/>
          <w:color w:val="08122A"/>
          <w:spacing w:val="80"/>
          <w:sz w:val="19"/>
          <w:szCs w:val="19"/>
        </w:rPr>
        <w:t xml:space="preserve">MARKET OPPORTUNITY</w:t>
      </w:r>
    </w:p>
    <w:p>
      <w:pPr>
        <w:spacing w:before="0" w:after="60"/>
      </w:pPr>
      <w:r>
        <w:t xml:space="preserve"/>
      </w:r>
    </w:p>
    <w:p>
      <w:pPr>
        <w:spacing w:before="0" w:after="140"/>
        <w:jc w:val="both"/>
      </w:pPr>
      <w:r>
        <w:rPr>
          <w:rFonts w:ascii="Georgia" w:cs="Georgia" w:eastAsia="Georgia" w:hAnsi="Georgia"/>
          <w:b w:val="false"/>
          <w:bCs w:val="false"/>
          <w:i w:val="false"/>
          <w:iCs w:val="false"/>
          <w:color w:val="111111"/>
          <w:sz w:val="22"/>
          <w:szCs w:val="22"/>
        </w:rPr>
        <w:t xml:space="preserve">The addressable market for geospatial intelligence, OSINT analytics, and commodity market intelligence platforms is projected to exceed $47 billion by 2028. PolyMatic’s unified architecture spans five distinct buyer segments that have historically required separate vendor relationships:</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Hedge funds and commodity trading desks requiring real-time commodity market intelligence correlated with geospatial supply chain signals and physical infrastructure data.</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Defence analysts, think tanks, and non-governmental organisations monitoring conflict events, military activity, dark maritime operations, and airspace restrictions.</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Investigative journalists and OSINT research teams tracking vessel movements, sanctions evasion, arms transfers, and geopolitical developments.</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Logistics companies, shipping operators, and corporate supply chain functions monitoring port congestion, maritime disruptions, and trade corridor risks.</w:t>
      </w:r>
    </w:p>
    <w:p>
      <w:pPr>
        <w:pStyle w:val="ListParagraph"/>
        <w:numPr>
          <w:ilvl w:val="0"/>
          <w:numId w:val="2"/>
        </w:numPr>
        <w:spacing w:before="40" w:after="100"/>
      </w:pPr>
      <w:r>
        <w:rPr>
          <w:rFonts w:ascii="Georgia" w:cs="Georgia" w:eastAsia="Georgia" w:hAnsi="Georgia"/>
          <w:b w:val="false"/>
          <w:bCs w:val="false"/>
          <w:i w:val="false"/>
          <w:iCs w:val="false"/>
          <w:color w:val="111111"/>
          <w:sz w:val="22"/>
          <w:szCs w:val="22"/>
        </w:rPr>
        <w:t xml:space="preserve">Government agencies and critical infrastructure operators monitoring energy networks, telecommunications infrastructure, and environmental threats.</w:t>
      </w:r>
    </w:p>
    <w:p>
      <w:pPr>
        <w:spacing w:before="0" w:after="120"/>
      </w:pPr>
      <w:r>
        <w:t xml:space="preserve"/>
      </w:r>
    </w:p>
    <w:p>
      <w:pPr>
        <w:spacing w:before="0" w:after="200"/>
        <w:jc w:val="both"/>
      </w:pPr>
      <w:r>
        <w:rPr>
          <w:rFonts w:ascii="Georgia" w:cs="Georgia" w:eastAsia="Georgia" w:hAnsi="Georgia"/>
          <w:b w:val="false"/>
          <w:bCs w:val="false"/>
          <w:i w:val="false"/>
          <w:iCs w:val="false"/>
          <w:color w:val="111111"/>
          <w:sz w:val="22"/>
          <w:szCs w:val="22"/>
        </w:rPr>
        <w:t xml:space="preserve">The launch of the Market Intelligence Layer suite significantly expands PolyMatic’s serviceable addressable market. By fusing commodity price feeds with geospatial OSINT and satellite signals, PolyMatic opens the platform to the $14 billion commodity trading intelligence segment, the $9 billion macro investment intelligence segment, and the $6 billion corporate supply chain risk segment — all of which have historically been underserved by geospatial-first OSINT vendors.</w:t>
      </w:r>
    </w:p>
    <w:p>
      <w:pPr>
        <w:spacing w:before="0" w:after="120"/>
      </w:pPr>
      <w:r>
        <w:t xml:space="preserve"/>
      </w:r>
    </w:p>
    <w:p>
      <w:pPr>
        <w:pBdr>
          <w:bottom w:val="single" w:color="007BA8" w:sz="6" w:space="4"/>
        </w:pBdr>
        <w:spacing w:before="0" w:after="80"/>
      </w:pPr>
      <w:r>
        <w:rPr>
          <w:rFonts w:ascii="Arial" w:cs="Arial" w:eastAsia="Arial" w:hAnsi="Arial"/>
          <w:b/>
          <w:bCs/>
          <w:color w:val="08122A"/>
          <w:spacing w:val="80"/>
          <w:sz w:val="19"/>
          <w:szCs w:val="19"/>
        </w:rPr>
        <w:t xml:space="preserve">SUBSCRIPTION TIERS &amp; PRICING</w:t>
      </w:r>
    </w:p>
    <w:p>
      <w:pPr>
        <w:spacing w:before="0" w:after="60"/>
      </w:pPr>
      <w:r>
        <w:t xml:space="preserve"/>
      </w:r>
    </w:p>
    <w:p>
      <w:pPr>
        <w:spacing w:before="0" w:after="140"/>
        <w:jc w:val="both"/>
      </w:pPr>
      <w:r>
        <w:rPr>
          <w:rFonts w:ascii="Georgia" w:cs="Georgia" w:eastAsia="Georgia" w:hAnsi="Georgia"/>
          <w:b w:val="false"/>
          <w:bCs w:val="false"/>
          <w:i w:val="false"/>
          <w:iCs w:val="false"/>
          <w:color w:val="111111"/>
          <w:sz w:val="22"/>
          <w:szCs w:val="22"/>
        </w:rPr>
        <w:t xml:space="preserve">PolyMatic is available under the following commercial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00"/>
        <w:gridCol w:w="2080"/>
        <w:gridCol w:w="3600"/>
      </w:tblGrid>
      <w:tr>
        <w:trPr>
          <w:tblHeader/>
        </w:trPr>
        <w:tc>
          <w:tcPr>
            <w:tcW w:type="dxa" w:w="1680"/>
            <w:tcBorders>
              <w:top w:val="single" w:color="1A2840" w:sz="4"/>
              <w:left w:val="single" w:color="1A2840" w:sz="4"/>
              <w:bottom w:val="single" w:color="1A2840" w:sz="4"/>
              <w:right w:val="single" w:color="1A2840" w:sz="4"/>
            </w:tcBorders>
            <w:shd w:fill="08122A" w:val="clear"/>
            <w:tcMar>
              <w:top w:type="dxa" w:w="120"/>
              <w:left w:type="dxa" w:w="160"/>
              <w:bottom w:type="dxa" w:w="120"/>
              <w:right w:type="dxa" w:w="160"/>
            </w:tcMar>
          </w:tcPr>
          <w:p>
            <w:r>
              <w:rPr>
                <w:rFonts w:ascii="Arial" w:cs="Arial" w:eastAsia="Arial" w:hAnsi="Arial"/>
                <w:b/>
                <w:bCs/>
                <w:color w:val="00C8F0"/>
                <w:spacing w:val="40"/>
                <w:sz w:val="17"/>
                <w:szCs w:val="17"/>
              </w:rPr>
              <w:t xml:space="preserve">PLAN</w:t>
            </w:r>
          </w:p>
        </w:tc>
        <w:tc>
          <w:tcPr>
            <w:tcW w:type="dxa" w:w="2000"/>
            <w:tcBorders>
              <w:top w:val="single" w:color="1A2840" w:sz="4"/>
              <w:left w:val="single" w:color="1A2840" w:sz="4"/>
              <w:bottom w:val="single" w:color="1A2840" w:sz="4"/>
              <w:right w:val="single" w:color="1A2840" w:sz="4"/>
            </w:tcBorders>
            <w:shd w:fill="08122A" w:val="clear"/>
            <w:tcMar>
              <w:top w:type="dxa" w:w="120"/>
              <w:left w:type="dxa" w:w="160"/>
              <w:bottom w:type="dxa" w:w="120"/>
              <w:right w:type="dxa" w:w="160"/>
            </w:tcMar>
          </w:tcPr>
          <w:p>
            <w:r>
              <w:rPr>
                <w:rFonts w:ascii="Arial" w:cs="Arial" w:eastAsia="Arial" w:hAnsi="Arial"/>
                <w:b/>
                <w:bCs/>
                <w:color w:val="00C8F0"/>
                <w:spacing w:val="40"/>
                <w:sz w:val="17"/>
                <w:szCs w:val="17"/>
              </w:rPr>
              <w:t xml:space="preserve">BASE PRICE</w:t>
            </w:r>
          </w:p>
        </w:tc>
        <w:tc>
          <w:tcPr>
            <w:tcW w:type="dxa" w:w="2080"/>
            <w:tcBorders>
              <w:top w:val="single" w:color="1A2840" w:sz="4"/>
              <w:left w:val="single" w:color="1A2840" w:sz="4"/>
              <w:bottom w:val="single" w:color="1A2840" w:sz="4"/>
              <w:right w:val="single" w:color="1A2840" w:sz="4"/>
            </w:tcBorders>
            <w:shd w:fill="08122A" w:val="clear"/>
            <w:tcMar>
              <w:top w:type="dxa" w:w="120"/>
              <w:left w:type="dxa" w:w="160"/>
              <w:bottom w:type="dxa" w:w="120"/>
              <w:right w:type="dxa" w:w="160"/>
            </w:tcMar>
          </w:tcPr>
          <w:p>
            <w:r>
              <w:rPr>
                <w:rFonts w:ascii="Arial" w:cs="Arial" w:eastAsia="Arial" w:hAnsi="Arial"/>
                <w:b/>
                <w:bCs/>
                <w:color w:val="00C8F0"/>
                <w:spacing w:val="40"/>
                <w:sz w:val="17"/>
                <w:szCs w:val="17"/>
              </w:rPr>
              <w:t xml:space="preserve">MI ADD-ON</w:t>
            </w:r>
          </w:p>
        </w:tc>
        <w:tc>
          <w:tcPr>
            <w:tcW w:type="dxa" w:w="3600"/>
            <w:tcBorders>
              <w:top w:val="single" w:color="1A2840" w:sz="4"/>
              <w:left w:val="single" w:color="1A2840" w:sz="4"/>
              <w:bottom w:val="single" w:color="1A2840" w:sz="4"/>
              <w:right w:val="single" w:color="1A2840" w:sz="4"/>
            </w:tcBorders>
            <w:shd w:fill="08122A" w:val="clear"/>
            <w:tcMar>
              <w:top w:type="dxa" w:w="120"/>
              <w:left w:type="dxa" w:w="160"/>
              <w:bottom w:type="dxa" w:w="120"/>
              <w:right w:type="dxa" w:w="160"/>
            </w:tcMar>
          </w:tcPr>
          <w:p>
            <w:r>
              <w:rPr>
                <w:rFonts w:ascii="Arial" w:cs="Arial" w:eastAsia="Arial" w:hAnsi="Arial"/>
                <w:b/>
                <w:bCs/>
                <w:color w:val="00C8F0"/>
                <w:spacing w:val="40"/>
                <w:sz w:val="17"/>
                <w:szCs w:val="17"/>
              </w:rPr>
              <w:t xml:space="preserve">DESIGNED FOR</w:t>
            </w:r>
          </w:p>
        </w:tc>
      </w:tr>
      <w:tr>
        <w:tc>
          <w:tcPr>
            <w:tcW w:type="dxa" w:w="1680"/>
            <w:tcBorders>
              <w:top w:val="single" w:color="D1D9E0" w:sz="4"/>
              <w:left w:val="single" w:color="D1D9E0" w:sz="4"/>
              <w:bottom w:val="single" w:color="D1D9E0" w:sz="4"/>
              <w:right w:val="single" w:color="D1D9E0" w:sz="4"/>
            </w:tcBorders>
            <w:shd w:fill="F5F8FC" w:val="clear"/>
            <w:tcMar>
              <w:top w:type="dxa" w:w="120"/>
              <w:left w:type="dxa" w:w="160"/>
              <w:bottom w:type="dxa" w:w="120"/>
              <w:right w:type="dxa" w:w="160"/>
            </w:tcMar>
          </w:tcPr>
          <w:p>
            <w:r>
              <w:rPr>
                <w:rFonts w:ascii="Georgia" w:cs="Georgia" w:eastAsia="Georgia" w:hAnsi="Georgia"/>
                <w:b/>
                <w:bCs/>
                <w:color w:val="08122A"/>
                <w:sz w:val="20"/>
                <w:szCs w:val="20"/>
              </w:rPr>
              <w:t xml:space="preserve">Analyst</w:t>
            </w:r>
          </w:p>
        </w:tc>
        <w:tc>
          <w:tcPr>
            <w:tcW w:type="dxa" w:w="2000"/>
            <w:tcBorders>
              <w:top w:val="single" w:color="D1D9E0" w:sz="4"/>
              <w:left w:val="single" w:color="D1D9E0" w:sz="4"/>
              <w:bottom w:val="single" w:color="D1D9E0" w:sz="4"/>
              <w:right w:val="single" w:color="D1D9E0" w:sz="4"/>
            </w:tcBorders>
            <w:shd w:fill="F5F8FC" w:val="clear"/>
            <w:tcMar>
              <w:top w:type="dxa" w:w="120"/>
              <w:left w:type="dxa" w:w="160"/>
              <w:bottom w:type="dxa" w:w="120"/>
              <w:right w:type="dxa" w:w="160"/>
            </w:tcMar>
          </w:tcPr>
          <w:p>
            <w:r>
              <w:rPr>
                <w:rFonts w:ascii="Georgia" w:cs="Georgia" w:eastAsia="Georgia" w:hAnsi="Georgia"/>
                <w:b w:val="false"/>
                <w:bCs w:val="false"/>
                <w:color w:val="1A2840"/>
                <w:sz w:val="20"/>
                <w:szCs w:val="20"/>
              </w:rPr>
              <w:t xml:space="preserve">$499 / seat / mo</w:t>
            </w:r>
          </w:p>
        </w:tc>
        <w:tc>
          <w:tcPr>
            <w:tcW w:type="dxa" w:w="2080"/>
            <w:tcBorders>
              <w:top w:val="single" w:color="D1D9E0" w:sz="4"/>
              <w:left w:val="single" w:color="D1D9E0" w:sz="4"/>
              <w:bottom w:val="single" w:color="D1D9E0" w:sz="4"/>
              <w:right w:val="single" w:color="D1D9E0" w:sz="4"/>
            </w:tcBorders>
            <w:shd w:fill="F5F8FC" w:val="clear"/>
            <w:tcMar>
              <w:top w:type="dxa" w:w="120"/>
              <w:left w:type="dxa" w:w="160"/>
              <w:bottom w:type="dxa" w:w="120"/>
              <w:right w:type="dxa" w:w="160"/>
            </w:tcMar>
          </w:tcPr>
          <w:p>
            <w:r>
              <w:rPr>
                <w:rFonts w:ascii="Georgia" w:cs="Georgia" w:eastAsia="Georgia" w:hAnsi="Georgia"/>
                <w:b w:val="false"/>
                <w:bCs w:val="false"/>
                <w:color w:val="1A2840"/>
                <w:sz w:val="20"/>
                <w:szCs w:val="20"/>
              </w:rPr>
              <w:t xml:space="preserve">Trader  (+$299/mo)</w:t>
            </w:r>
          </w:p>
        </w:tc>
        <w:tc>
          <w:tcPr>
            <w:tcW w:type="dxa" w:w="3600"/>
            <w:tcBorders>
              <w:top w:val="single" w:color="D1D9E0" w:sz="4"/>
              <w:left w:val="single" w:color="D1D9E0" w:sz="4"/>
              <w:bottom w:val="single" w:color="D1D9E0" w:sz="4"/>
              <w:right w:val="single" w:color="D1D9E0" w:sz="4"/>
            </w:tcBorders>
            <w:shd w:fill="F5F8FC" w:val="clear"/>
            <w:tcMar>
              <w:top w:type="dxa" w:w="120"/>
              <w:left w:type="dxa" w:w="160"/>
              <w:bottom w:type="dxa" w:w="120"/>
              <w:right w:type="dxa" w:w="160"/>
            </w:tcMar>
          </w:tcPr>
          <w:p>
            <w:r>
              <w:rPr>
                <w:rFonts w:ascii="Georgia" w:cs="Georgia" w:eastAsia="Georgia" w:hAnsi="Georgia"/>
                <w:b w:val="false"/>
                <w:bCs w:val="false"/>
                <w:color w:val="1A2840"/>
                <w:sz w:val="20"/>
                <w:szCs w:val="20"/>
              </w:rPr>
              <w:t xml:space="preserve">Journalists · Researchers · Independent analysts</w:t>
            </w:r>
          </w:p>
        </w:tc>
      </w:tr>
      <w:tr>
        <w:tc>
          <w:tcPr>
            <w:tcW w:type="dxa" w:w="1680"/>
            <w:tcBorders>
              <w:top w:val="single" w:color="D1D9E0" w:sz="4"/>
              <w:left w:val="single" w:color="D1D9E0" w:sz="4"/>
              <w:bottom w:val="single" w:color="D1D9E0" w:sz="4"/>
              <w:right w:val="single" w:color="D1D9E0" w:sz="4"/>
            </w:tcBorders>
            <w:shd w:fill="FFFFFF" w:val="clear"/>
            <w:tcMar>
              <w:top w:type="dxa" w:w="120"/>
              <w:left w:type="dxa" w:w="160"/>
              <w:bottom w:type="dxa" w:w="120"/>
              <w:right w:type="dxa" w:w="160"/>
            </w:tcMar>
          </w:tcPr>
          <w:p>
            <w:r>
              <w:rPr>
                <w:rFonts w:ascii="Georgia" w:cs="Georgia" w:eastAsia="Georgia" w:hAnsi="Georgia"/>
                <w:b/>
                <w:bCs/>
                <w:color w:val="08122A"/>
                <w:sz w:val="20"/>
                <w:szCs w:val="20"/>
              </w:rPr>
              <w:t xml:space="preserve">Professional</w:t>
            </w:r>
          </w:p>
        </w:tc>
        <w:tc>
          <w:tcPr>
            <w:tcW w:type="dxa" w:w="2000"/>
            <w:tcBorders>
              <w:top w:val="single" w:color="D1D9E0" w:sz="4"/>
              <w:left w:val="single" w:color="D1D9E0" w:sz="4"/>
              <w:bottom w:val="single" w:color="D1D9E0" w:sz="4"/>
              <w:right w:val="single" w:color="D1D9E0" w:sz="4"/>
            </w:tcBorders>
            <w:shd w:fill="FFFFFF" w:val="clear"/>
            <w:tcMar>
              <w:top w:type="dxa" w:w="120"/>
              <w:left w:type="dxa" w:w="160"/>
              <w:bottom w:type="dxa" w:w="120"/>
              <w:right w:type="dxa" w:w="160"/>
            </w:tcMar>
          </w:tcPr>
          <w:p>
            <w:r>
              <w:rPr>
                <w:rFonts w:ascii="Georgia" w:cs="Georgia" w:eastAsia="Georgia" w:hAnsi="Georgia"/>
                <w:b w:val="false"/>
                <w:bCs w:val="false"/>
                <w:color w:val="1A2840"/>
                <w:sz w:val="20"/>
                <w:szCs w:val="20"/>
              </w:rPr>
              <w:t xml:space="preserve">$2,400 / seat / mo</w:t>
            </w:r>
          </w:p>
        </w:tc>
        <w:tc>
          <w:tcPr>
            <w:tcW w:type="dxa" w:w="2080"/>
            <w:tcBorders>
              <w:top w:val="single" w:color="D1D9E0" w:sz="4"/>
              <w:left w:val="single" w:color="D1D9E0" w:sz="4"/>
              <w:bottom w:val="single" w:color="D1D9E0" w:sz="4"/>
              <w:right w:val="single" w:color="D1D9E0" w:sz="4"/>
            </w:tcBorders>
            <w:shd w:fill="FFFFFF" w:val="clear"/>
            <w:tcMar>
              <w:top w:type="dxa" w:w="120"/>
              <w:left w:type="dxa" w:w="160"/>
              <w:bottom w:type="dxa" w:w="120"/>
              <w:right w:type="dxa" w:w="160"/>
            </w:tcMar>
          </w:tcPr>
          <w:p>
            <w:r>
              <w:rPr>
                <w:rFonts w:ascii="Georgia" w:cs="Georgia" w:eastAsia="Georgia" w:hAnsi="Georgia"/>
                <w:b w:val="false"/>
                <w:bCs w:val="false"/>
                <w:color w:val="1A2840"/>
                <w:sz w:val="20"/>
                <w:szCs w:val="20"/>
              </w:rPr>
              <w:t xml:space="preserve">Market Pro  (+$890/mo)</w:t>
            </w:r>
          </w:p>
        </w:tc>
        <w:tc>
          <w:tcPr>
            <w:tcW w:type="dxa" w:w="3600"/>
            <w:tcBorders>
              <w:top w:val="single" w:color="D1D9E0" w:sz="4"/>
              <w:left w:val="single" w:color="D1D9E0" w:sz="4"/>
              <w:bottom w:val="single" w:color="D1D9E0" w:sz="4"/>
              <w:right w:val="single" w:color="D1D9E0" w:sz="4"/>
            </w:tcBorders>
            <w:shd w:fill="FFFFFF" w:val="clear"/>
            <w:tcMar>
              <w:top w:type="dxa" w:w="120"/>
              <w:left w:type="dxa" w:w="160"/>
              <w:bottom w:type="dxa" w:w="120"/>
              <w:right w:type="dxa" w:w="160"/>
            </w:tcMar>
          </w:tcPr>
          <w:p>
            <w:r>
              <w:rPr>
                <w:rFonts w:ascii="Georgia" w:cs="Georgia" w:eastAsia="Georgia" w:hAnsi="Georgia"/>
                <w:b w:val="false"/>
                <w:bCs w:val="false"/>
                <w:color w:val="1A2840"/>
                <w:sz w:val="20"/>
                <w:szCs w:val="20"/>
              </w:rPr>
              <w:t xml:space="preserve">Hedge funds · Commodity desks · OSINT teams · Logistics</w:t>
            </w:r>
          </w:p>
        </w:tc>
      </w:tr>
      <w:tr>
        <w:tc>
          <w:tcPr>
            <w:tcW w:type="dxa" w:w="1680"/>
            <w:tcBorders>
              <w:top w:val="single" w:color="D1D9E0" w:sz="4"/>
              <w:left w:val="single" w:color="D1D9E0" w:sz="4"/>
              <w:bottom w:val="single" w:color="D1D9E0" w:sz="4"/>
              <w:right w:val="single" w:color="D1D9E0" w:sz="4"/>
            </w:tcBorders>
            <w:shd w:fill="F5F8FC" w:val="clear"/>
            <w:tcMar>
              <w:top w:type="dxa" w:w="120"/>
              <w:left w:type="dxa" w:w="160"/>
              <w:bottom w:type="dxa" w:w="120"/>
              <w:right w:type="dxa" w:w="160"/>
            </w:tcMar>
          </w:tcPr>
          <w:p>
            <w:r>
              <w:rPr>
                <w:rFonts w:ascii="Georgia" w:cs="Georgia" w:eastAsia="Georgia" w:hAnsi="Georgia"/>
                <w:b/>
                <w:bCs/>
                <w:color w:val="08122A"/>
                <w:sz w:val="20"/>
                <w:szCs w:val="20"/>
              </w:rPr>
              <w:t xml:space="preserve">Enterprise</w:t>
            </w:r>
          </w:p>
        </w:tc>
        <w:tc>
          <w:tcPr>
            <w:tcW w:type="dxa" w:w="2000"/>
            <w:tcBorders>
              <w:top w:val="single" w:color="D1D9E0" w:sz="4"/>
              <w:left w:val="single" w:color="D1D9E0" w:sz="4"/>
              <w:bottom w:val="single" w:color="D1D9E0" w:sz="4"/>
              <w:right w:val="single" w:color="D1D9E0" w:sz="4"/>
            </w:tcBorders>
            <w:shd w:fill="F5F8FC" w:val="clear"/>
            <w:tcMar>
              <w:top w:type="dxa" w:w="120"/>
              <w:left w:type="dxa" w:w="160"/>
              <w:bottom w:type="dxa" w:w="120"/>
              <w:right w:type="dxa" w:w="160"/>
            </w:tcMar>
          </w:tcPr>
          <w:p>
            <w:r>
              <w:rPr>
                <w:rFonts w:ascii="Georgia" w:cs="Georgia" w:eastAsia="Georgia" w:hAnsi="Georgia"/>
                <w:b w:val="false"/>
                <w:bCs w:val="false"/>
                <w:color w:val="1A2840"/>
                <w:sz w:val="20"/>
                <w:szCs w:val="20"/>
              </w:rPr>
              <w:t xml:space="preserve">Custom contract</w:t>
            </w:r>
          </w:p>
        </w:tc>
        <w:tc>
          <w:tcPr>
            <w:tcW w:type="dxa" w:w="2080"/>
            <w:tcBorders>
              <w:top w:val="single" w:color="D1D9E0" w:sz="4"/>
              <w:left w:val="single" w:color="D1D9E0" w:sz="4"/>
              <w:bottom w:val="single" w:color="D1D9E0" w:sz="4"/>
              <w:right w:val="single" w:color="D1D9E0" w:sz="4"/>
            </w:tcBorders>
            <w:shd w:fill="F5F8FC" w:val="clear"/>
            <w:tcMar>
              <w:top w:type="dxa" w:w="120"/>
              <w:left w:type="dxa" w:w="160"/>
              <w:bottom w:type="dxa" w:w="120"/>
              <w:right w:type="dxa" w:w="160"/>
            </w:tcMar>
          </w:tcPr>
          <w:p>
            <w:r>
              <w:rPr>
                <w:rFonts w:ascii="Georgia" w:cs="Georgia" w:eastAsia="Georgia" w:hAnsi="Georgia"/>
                <w:b w:val="false"/>
                <w:bCs w:val="false"/>
                <w:color w:val="1A2840"/>
                <w:sz w:val="20"/>
                <w:szCs w:val="20"/>
              </w:rPr>
              <w:t xml:space="preserve">Quant Desk  (custom)</w:t>
            </w:r>
          </w:p>
        </w:tc>
        <w:tc>
          <w:tcPr>
            <w:tcW w:type="dxa" w:w="3600"/>
            <w:tcBorders>
              <w:top w:val="single" w:color="D1D9E0" w:sz="4"/>
              <w:left w:val="single" w:color="D1D9E0" w:sz="4"/>
              <w:bottom w:val="single" w:color="D1D9E0" w:sz="4"/>
              <w:right w:val="single" w:color="D1D9E0" w:sz="4"/>
            </w:tcBorders>
            <w:shd w:fill="F5F8FC" w:val="clear"/>
            <w:tcMar>
              <w:top w:type="dxa" w:w="120"/>
              <w:left w:type="dxa" w:w="160"/>
              <w:bottom w:type="dxa" w:w="120"/>
              <w:right w:type="dxa" w:w="160"/>
            </w:tcMar>
          </w:tcPr>
          <w:p>
            <w:r>
              <w:rPr>
                <w:rFonts w:ascii="Georgia" w:cs="Georgia" w:eastAsia="Georgia" w:hAnsi="Georgia"/>
                <w:b w:val="false"/>
                <w:bCs w:val="false"/>
                <w:color w:val="1A2840"/>
                <w:sz w:val="20"/>
                <w:szCs w:val="20"/>
              </w:rPr>
              <w:t xml:space="preserve">Governments · Defence agencies · Institutional investment funds</w:t>
            </w:r>
          </w:p>
        </w:tc>
      </w:tr>
    </w:tbl>
    <w:p>
      <w:pPr>
        <w:spacing w:before="0" w:after="180"/>
      </w:pPr>
      <w:r>
        <w:t xml:space="preserve"/>
      </w:r>
    </w:p>
    <w:p>
      <w:pPr>
        <w:spacing w:before="0" w:after="200"/>
        <w:jc w:val="both"/>
      </w:pPr>
      <w:r>
        <w:rPr>
          <w:rFonts w:ascii="Georgia" w:cs="Georgia" w:eastAsia="Georgia" w:hAnsi="Georgia"/>
          <w:b w:val="false"/>
          <w:bCs w:val="false"/>
          <w:i w:val="false"/>
          <w:iCs w:val="false"/>
          <w:color w:val="111111"/>
          <w:sz w:val="22"/>
          <w:szCs w:val="22"/>
        </w:rPr>
        <w:t xml:space="preserve">Market Intelligence Layer add-ons are available as incremental upgrades to existing PolyMatic base subscriptions, increasing average revenue per user by 1.6× to 3.5× with near-zero incremental customer acquisition cost. Professional and Enterprise subscribers receive full WebSocket API access for programmatic integration of live intelligence feeds.</w:t>
      </w:r>
    </w:p>
    <w:p>
      <w:pPr>
        <w:spacing w:before="0" w:after="120"/>
      </w:pPr>
      <w:r>
        <w:t xml:space="preserve"/>
      </w:r>
    </w:p>
    <w:p>
      <w:pPr>
        <w:pBdr>
          <w:bottom w:val="single" w:color="007BA8" w:sz="6" w:space="4"/>
        </w:pBdr>
        <w:spacing w:before="0" w:after="80"/>
      </w:pPr>
      <w:r>
        <w:rPr>
          <w:rFonts w:ascii="Arial" w:cs="Arial" w:eastAsia="Arial" w:hAnsi="Arial"/>
          <w:b/>
          <w:bCs/>
          <w:color w:val="08122A"/>
          <w:spacing w:val="80"/>
          <w:sz w:val="19"/>
          <w:szCs w:val="19"/>
        </w:rPr>
        <w:t xml:space="preserve">AVAILABILITY</w:t>
      </w:r>
    </w:p>
    <w:p>
      <w:pPr>
        <w:spacing w:before="0" w:after="60"/>
      </w:pPr>
      <w:r>
        <w:t xml:space="preserve"/>
      </w:r>
    </w:p>
    <w:p>
      <w:pPr>
        <w:spacing w:before="0" w:after="200"/>
        <w:jc w:val="both"/>
      </w:pPr>
      <w:r>
        <w:rPr>
          <w:rFonts w:ascii="Georgia" w:cs="Georgia" w:eastAsia="Georgia" w:hAnsi="Georgia"/>
          <w:b w:val="false"/>
          <w:bCs w:val="false"/>
          <w:i w:val="false"/>
          <w:iCs w:val="false"/>
          <w:color w:val="111111"/>
          <w:sz w:val="22"/>
          <w:szCs w:val="22"/>
        </w:rPr>
        <w:t xml:space="preserve">The PolyMatic platform is available immediately via web browser at polymatic.io. Native mobile applications for iOS and Android are scheduled for release in Q3 2025. Enterprise deployments with dedicated infrastructure and on-premises deployment options are available to qualified institutional and government clients upon request.</w:t>
      </w:r>
    </w:p>
    <w:p>
      <w:pPr>
        <w:spacing w:before="0" w:after="200"/>
        <w:jc w:val="both"/>
      </w:pPr>
      <w:r>
        <w:rPr>
          <w:rFonts w:ascii="Georgia" w:cs="Georgia" w:eastAsia="Georgia" w:hAnsi="Georgia"/>
          <w:b w:val="false"/>
          <w:bCs w:val="false"/>
          <w:i w:val="false"/>
          <w:iCs w:val="false"/>
          <w:color w:val="111111"/>
          <w:sz w:val="22"/>
          <w:szCs w:val="22"/>
        </w:rPr>
        <w:t xml:space="preserve">A guided demonstration environment with representative live data is available to credentialled media, qualified institutional prospects, and registered analysts. Press and media access may be requested via press@polymatic.io.</w:t>
      </w:r>
    </w:p>
    <w:p>
      <w:pPr>
        <w:spacing w:before="0" w:after="120"/>
      </w:pPr>
      <w:r>
        <w:t xml:space="preserve"/>
      </w:r>
    </w:p>
    <w:p>
      <w:pPr>
        <w:pBdr>
          <w:bottom w:val="single" w:color="007BA8" w:sz="6" w:space="4"/>
        </w:pBdr>
        <w:spacing w:before="0" w:after="80"/>
      </w:pPr>
      <w:r>
        <w:rPr>
          <w:rFonts w:ascii="Arial" w:cs="Arial" w:eastAsia="Arial" w:hAnsi="Arial"/>
          <w:b/>
          <w:bCs/>
          <w:color w:val="08122A"/>
          <w:spacing w:val="80"/>
          <w:sz w:val="19"/>
          <w:szCs w:val="19"/>
        </w:rPr>
        <w:t xml:space="preserve">ABOUT POLYMATIC</w:t>
      </w:r>
    </w:p>
    <w:p>
      <w:pPr>
        <w:spacing w:before="0" w:after="60"/>
      </w:pPr>
      <w:r>
        <w:t xml:space="preserve"/>
      </w:r>
    </w:p>
    <w:p>
      <w:pPr>
        <w:spacing w:before="0" w:after="200"/>
        <w:jc w:val="both"/>
      </w:pPr>
      <w:r>
        <w:rPr>
          <w:rFonts w:ascii="Georgia" w:cs="Georgia" w:eastAsia="Georgia" w:hAnsi="Georgia"/>
          <w:b w:val="false"/>
          <w:bCs w:val="false"/>
          <w:i w:val="false"/>
          <w:iCs w:val="false"/>
          <w:color w:val="111111"/>
          <w:sz w:val="22"/>
          <w:szCs w:val="22"/>
        </w:rPr>
        <w:t xml:space="preserve">Platform6ix Inc. is a global intelligence technology company building the world’s most comprehensive commercial geospatial macro intelligence platform. The company’s mission is to democratise access to professional-grade spatial intelligence by unifying open-source geospatial data, satellite telemetry, commodity market feeds, and AI-powered signal correlation into a single accessible platform. Platform6ix Inc. serves analysts, investors, journalists, logistics operators, and governments seeking real-time and historical situational awareness of global events.</w:t>
      </w:r>
    </w:p>
    <w:p>
      <w:pPr>
        <w:spacing w:before="0" w:after="200"/>
        <w:jc w:val="both"/>
      </w:pPr>
      <w:r>
        <w:rPr>
          <w:rFonts w:ascii="Georgia" w:cs="Georgia" w:eastAsia="Georgia" w:hAnsi="Georgia"/>
          <w:b w:val="false"/>
          <w:bCs w:val="false"/>
          <w:i w:val="false"/>
          <w:iCs w:val="false"/>
          <w:color w:val="111111"/>
          <w:sz w:val="22"/>
          <w:szCs w:val="22"/>
        </w:rPr>
        <w:t xml:space="preserve">Platform6ix Inc. is headquartered in New York, NY, with engineering operations across the United States and Europe. The company is currently raising a $4 million Seed funding round to accelerate platform development, expand its data science and engineering teams, and scale enterprise go-to-market initiatives. For investor enquiries, please contact investors@polymatic.io.</w:t>
      </w:r>
    </w:p>
    <w:p>
      <w:pPr>
        <w:spacing w:before="0" w:after="120"/>
      </w:pPr>
      <w:r>
        <w:t xml:space="preserve"/>
      </w:r>
    </w:p>
    <w:p>
      <w:pPr>
        <w:pBdr>
          <w:bottom w:val="single" w:color="007BA8" w:sz="6" w:space="4"/>
        </w:pBdr>
        <w:spacing w:before="0" w:after="80"/>
      </w:pPr>
      <w:r>
        <w:rPr>
          <w:rFonts w:ascii="Arial" w:cs="Arial" w:eastAsia="Arial" w:hAnsi="Arial"/>
          <w:b/>
          <w:bCs/>
          <w:color w:val="08122A"/>
          <w:spacing w:val="80"/>
          <w:sz w:val="19"/>
          <w:szCs w:val="19"/>
        </w:rPr>
        <w:t xml:space="preserve">CAUTIONARY NOTE ON FORWARD-LOOKING STATEMENTS</w:t>
      </w:r>
    </w:p>
    <w:p>
      <w:pPr>
        <w:spacing w:before="0" w:after="60"/>
      </w:pPr>
      <w:r>
        <w:t xml:space="preserve"/>
      </w:r>
    </w:p>
    <w:p>
      <w:pPr>
        <w:spacing w:before="0" w:after="240"/>
        <w:jc w:val="both"/>
      </w:pPr>
      <w:r>
        <w:rPr>
          <w:rFonts w:ascii="Georgia" w:cs="Georgia" w:eastAsia="Georgia" w:hAnsi="Georgia"/>
          <w:b w:val="false"/>
          <w:bCs w:val="false"/>
          <w:i w:val="false"/>
          <w:iCs w:val="false"/>
          <w:color w:val="718096"/>
          <w:sz w:val="19"/>
          <w:szCs w:val="19"/>
        </w:rPr>
        <w:t xml:space="preserve">This press release contains forward-looking statements, including statements regarding future product capabilities, development timelines, market opportunity estimates, revenue projections, and strategic plans. These statements involve known and unknown risks and uncertainties that may cause actual results to differ materially from those expressed or implied. Factors that could cause such differences include, but are not limited to, changes in market conditions, competitive dynamics, regulatory developments, and the company’s ability to execute on its technology and commercial roadmap. PolyMatic undertakes no obligation to update or revise any forward-looking statement after the date of this press release, except as required by applicable law.</w:t>
      </w:r>
    </w:p>
    <w:p>
      <w:pPr>
        <w:pBdr>
          <w:bottom w:val="single" w:color="00C8F0" w:sz="8" w:space="2"/>
        </w:pBdr>
        <w:spacing w:before="0" w:after="0"/>
      </w:pPr>
      <w:r>
        <w:t xml:space="preserve"/>
      </w:r>
    </w:p>
    <w:p>
      <w:pPr>
        <w:spacing w:before="0" w:after="180"/>
      </w:pPr>
      <w:r>
        <w:t xml:space="preserve"/>
      </w:r>
    </w:p>
    <w:p>
      <w:pPr>
        <w:spacing w:before="0" w:after="100"/>
        <w:jc w:val="center"/>
      </w:pPr>
      <w:r>
        <w:rPr>
          <w:rFonts w:ascii="Arial" w:cs="Arial" w:eastAsia="Arial" w:hAnsi="Arial"/>
          <w:b/>
          <w:bCs/>
          <w:color w:val="08122A"/>
          <w:spacing w:val="80"/>
          <w:sz w:val="18"/>
          <w:szCs w:val="18"/>
        </w:rPr>
        <w:t xml:space="preserve">PRESS &amp; MEDIA CONTACT</w:t>
      </w:r>
    </w:p>
    <w:p>
      <w:pPr>
        <w:spacing w:before="0" w:after="60"/>
        <w:jc w:val="center"/>
      </w:pPr>
      <w:r>
        <w:rPr>
          <w:rFonts w:ascii="Georgia" w:cs="Georgia" w:eastAsia="Georgia" w:hAnsi="Georgia"/>
          <w:color w:val="1A2840"/>
          <w:sz w:val="21"/>
          <w:szCs w:val="21"/>
        </w:rPr>
        <w:t xml:space="preserve">Communications Team, Platform6ix Inc.</w:t>
      </w:r>
    </w:p>
    <w:p>
      <w:pPr>
        <w:spacing w:before="0" w:after="60"/>
        <w:jc w:val="center"/>
      </w:pPr>
      <w:r>
        <w:rPr>
          <w:rFonts w:ascii="Arial" w:cs="Arial" w:eastAsia="Arial" w:hAnsi="Arial"/>
          <w:b/>
          <w:bCs/>
          <w:color w:val="007BA8"/>
          <w:sz w:val="21"/>
          <w:szCs w:val="21"/>
        </w:rPr>
        <w:t xml:space="preserve">press@polymatic.io</w:t>
      </w:r>
    </w:p>
    <w:p>
      <w:pPr>
        <w:spacing w:before="0" w:after="60"/>
        <w:jc w:val="center"/>
      </w:pPr>
      <w:r>
        <w:rPr>
          <w:rFonts w:ascii="Arial" w:cs="Arial" w:eastAsia="Arial" w:hAnsi="Arial"/>
          <w:color w:val="718096"/>
          <w:sz w:val="20"/>
          <w:szCs w:val="20"/>
        </w:rPr>
        <w:t xml:space="preserve">polymatic.io/press  ·  +1 (212) 555-0192</w:t>
      </w:r>
    </w:p>
    <w:p>
      <w:pPr>
        <w:spacing w:before="0" w:after="140"/>
      </w:pPr>
      <w:r>
        <w:t xml:space="preserve"/>
      </w:r>
    </w:p>
    <w:p>
      <w:pPr>
        <w:spacing w:before="0" w:after="60"/>
        <w:jc w:val="center"/>
      </w:pPr>
      <w:r>
        <w:rPr>
          <w:rFonts w:ascii="Arial" w:cs="Arial" w:eastAsia="Arial" w:hAnsi="Arial"/>
          <w:b/>
          <w:bCs/>
          <w:color w:val="4A5568"/>
          <w:sz w:val="22"/>
          <w:szCs w:val="22"/>
        </w:rPr>
        <w:t xml:space="preserve">#  #  #</w:t>
      </w:r>
    </w:p>
    <w:p>
      <w:pPr>
        <w:spacing w:before="0" w:after="80"/>
      </w:pPr>
      <w:r>
        <w:t xml:space="preserve"/>
      </w:r>
    </w:p>
    <w:p>
      <w:pPr>
        <w:spacing w:before="0" w:after="0"/>
        <w:jc w:val="center"/>
      </w:pPr>
      <w:r>
        <w:rPr>
          <w:rFonts w:ascii="Arial" w:cs="Arial" w:eastAsia="Arial" w:hAnsi="Arial"/>
          <w:color w:val="718096"/>
          <w:sz w:val="16"/>
          <w:szCs w:val="16"/>
        </w:rPr>
        <w:t xml:space="preserve">Platform6ix Inc.  ·  New York, NY  ·  polymatic.io  ·  © 2025 Platform6ix Inc. All rights reserved.</w:t>
      </w:r>
    </w:p>
    <w:sectPr>
      <w:headerReference w:type="default" r:id="rId6"/>
      <w:footerReference w:type="default" r:id="rId7"/>
      <w:pgSz w:w="12240" w:h="15840" w:orient="portrait"/>
      <w:pgMar w:top="108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DF" w:sz="4" w:space="6"/>
      </w:pBdr>
      <w:tabs>
        <w:tab w:val="right" w:pos="9360"/>
      </w:tabs>
      <w:spacing w:before="0" w:after="0"/>
    </w:pPr>
    <w:r>
      <w:rPr>
        <w:rFonts w:ascii="Arial" w:cs="Arial" w:eastAsia="Arial" w:hAnsi="Arial"/>
        <w:color w:val="718096"/>
        <w:sz w:val="16"/>
        <w:szCs w:val="16"/>
      </w:rPr>
      <w:t xml:space="preserve">press@polymatic.io  ·  polymatic.io</w:t>
    </w:r>
    <w:r>
      <w:rPr>
        <w:rFonts w:ascii="Arial" w:cs="Arial" w:eastAsia="Arial" w:hAnsi="Arial"/>
        <w:color w:val="718096"/>
        <w:sz w:val="16"/>
        <w:szCs w:val="16"/>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DF" w:sz="4" w:space="6"/>
      </w:pBdr>
      <w:tabs>
        <w:tab w:val="right" w:pos="9360"/>
      </w:tabs>
      <w:spacing w:before="0" w:after="0"/>
    </w:pPr>
    <w:r>
      <w:rPr>
        <w:rFonts w:ascii="Arial" w:cs="Arial" w:eastAsia="Arial" w:hAnsi="Arial"/>
        <w:b/>
        <w:bCs/>
        <w:color w:val="718096"/>
        <w:spacing w:val="60"/>
        <w:sz w:val="16"/>
        <w:szCs w:val="16"/>
      </w:rPr>
      <w:t xml:space="preserve">POLYMATIC  ·  PRESS RELEASE</w:t>
    </w:r>
    <w:r>
      <w:rPr>
        <w:rFonts w:ascii="Arial" w:cs="Arial" w:eastAsia="Arial" w:hAnsi="Arial"/>
        <w:color w:val="718096"/>
        <w:sz w:val="16"/>
        <w:szCs w:val="16"/>
      </w:rPr>
      <w:t xml:space="preserve">	FOR IMMEDIATE RELEASE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Georgia" w:cs="Georgia" w:eastAsia="Georgia" w:hAnsi="Georgia"/>
        <w:color w:val="007BA8"/>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2026-03-10T05:29:53.659Z</dcterms:created>
  <dcterms:modified xsi:type="dcterms:W3CDTF">2026-03-10T05:29:53.660Z</dcterms:modified>
</cp:coreProperties>
</file>

<file path=docProps/custom.xml><?xml version="1.0" encoding="utf-8"?>
<Properties xmlns="http://schemas.openxmlformats.org/officeDocument/2006/custom-properties" xmlns:vt="http://schemas.openxmlformats.org/officeDocument/2006/docPropsVTypes"/>
</file>