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4"/>
      </w:pPr>
      <w:r>
        <w:rPr>
          <w:rFonts w:ascii="Times New Roman" w:hAnsi="Times New Roman"/>
          <w:sz w:val="20"/>
        </w:rPr>
        <w:t xml:space="preserve">PhishXpert: A Hybrid Transformer–Machine Learning Framework for Explainable Phishing Website Detection Using DistilBERT, LightGBM and Retrieval-Augmented Security Intelligence</w:t>
      </w:r>
    </w:p>
    <w:p>
      <w:pPr>
        <w:pStyle w:val="45"/>
      </w:pPr>
      <w:r>
        <w:rPr>
          <w:rFonts w:ascii="Times New Roman" w:hAnsi="Times New Roman"/>
          <w:b/>
          <w:sz w:val="20"/>
        </w:rPr>
        <w:t xml:space="preserve">Maddula Aruna Grace</w:t>
      </w:r>
    </w:p>
    <w:p>
      <w:pPr>
        <w:pStyle w:val="46"/>
        <w:spacing w:after="0"/>
      </w:pPr>
      <w:r>
        <w:rPr>
          <w:rFonts w:ascii="Times New Roman" w:hAnsi="Times New Roman"/>
          <w:sz w:val="20"/>
        </w:rPr>
        <w:t xml:space="preserve">(Department of Computer Science and Engineering, Koneru Lakshmaiah Education Foundation, India,</w:t>
        <w:br w:type="textWrapping"/>
        <w:t xml:space="preserve">[ORCID], marunagrace1@gmail.com)</w:t>
      </w:r>
    </w:p>
    <w:p>
      <w:pPr>
        <w:pStyle w:val="45"/>
      </w:pPr>
      <w:r>
        <w:rPr>
          <w:rFonts w:ascii="Times New Roman" w:hAnsi="Times New Roman"/>
          <w:b/>
          <w:sz w:val="20"/>
        </w:rPr>
        <w:t xml:space="preserve">Ganji Naga Manaswi</w:t>
      </w:r>
    </w:p>
    <w:p>
      <w:pPr>
        <w:pStyle w:val="46"/>
        <w:spacing w:after="0"/>
      </w:pPr>
      <w:r>
        <w:rPr>
          <w:rFonts w:ascii="Times New Roman" w:hAnsi="Times New Roman"/>
          <w:sz w:val="20"/>
        </w:rPr>
        <w:t xml:space="preserve">(Department of Computer Science and Engineering, Koneru Lakshmaiah Education Foundation, India,</w:t>
        <w:br w:type="textWrapping"/>
        <w:t xml:space="preserve">[ORCID], manaswiganji11@gmail.com)</w:t>
      </w:r>
    </w:p>
    <w:p>
      <w:pPr>
        <w:pStyle w:val="45"/>
      </w:pPr>
      <w:r>
        <w:rPr>
          <w:rFonts w:ascii="Times New Roman" w:hAnsi="Times New Roman"/>
          <w:b/>
          <w:sz w:val="20"/>
        </w:rPr>
        <w:t xml:space="preserve">Dr. K. Swanthana</w:t>
      </w:r>
    </w:p>
    <w:p>
      <w:pPr>
        <w:pStyle w:val="46"/>
        <w:spacing w:after="0"/>
      </w:pPr>
      <w:r>
        <w:rPr>
          <w:rFonts w:ascii="Times New Roman" w:hAnsi="Times New Roman"/>
          <w:sz w:val="20"/>
        </w:rPr>
        <w:t xml:space="preserve">(Department of Computer Science and Engineering, Koneru Lakshmaiah Education Foundation, India,</w:t>
        <w:br w:type="textWrapping"/>
        <w:t xml:space="preserve">[ORCID], [email])</w:t>
      </w:r>
    </w:p>
    <w:p>
      <w:pPr>
        <w:pStyle w:val="43"/>
      </w:pPr>
      <w:r>
        <w:rPr>
          <w:rFonts w:ascii="Times New Roman" w:hAnsi="Times New Roman"/>
          <w:sz w:val="20"/>
        </w:rPr>
        <w:t xml:space="preserve">Abstract: Phishing websites succeed because they exploit human trust, imitating legitimate services closely enough that people hand over credentials or financial details. We present PhishXpert Hybrid, an explainable phishing-detection framework that combines webpage structure with the meaning of the visible page text. The system extracts 23 URL, HTML, hyperlink and form features and a 768-dimensional embedding of the page text from a frozen DistilBERT encoder, fuses them into a 791-dimensional vector and classifies it with LightGBM. TreeSHAP provides model-level attribution, while domain verification, webpage evidence, retrieval-augmented security knowledge and a language-model explanation make the result easier to interpret. On a balanced 5,000-page subset of the D1 dataset (4,000 pages for training, 1,000 for testing), PhishXpert Hybrid achieves 88.30% accuracy, 86.90% precision, 90.20% recall, an F1-score of 88.52%, 95.54% ROC-AUC and 96.07% PR-AUC, improving on the strongest controlled LightGBM baseline by 2.40 percentage points in accuracy and 2.52 points in F1-score. An external evaluation on 3,000 usable CompPhish pages gives 68.80% accuracy and 98.40% recall, revealing a distribution shift and a specificity weakness that we discuss openly. The system is implemented with FastAPI and React/TypeScript/Vite and falls back to URL-only analysis when page content cannot be retrieved.</w:t>
      </w:r>
    </w:p>
    <w:p>
      <w:pPr>
        <w:pStyle w:val="48"/>
        <w:spacing w:after="0"/>
      </w:pPr>
      <w:r>
        <w:rPr>
          <w:rFonts w:ascii="Times New Roman" w:hAnsi="Times New Roman"/>
          <w:sz w:val="18"/>
        </w:rPr>
        <w:t xml:space="preserve">Key Words:</w:t>
      </w:r>
      <w:r>
        <w:rPr>
          <w:rFonts w:ascii="Times New Roman" w:hAnsi="Times New Roman"/>
          <w:sz w:val="18"/>
        </w:rPr>
        <w:t xml:space="preserve"> Phishing detection, DistilBERT, LightGBM, explainable AI, TreeSHAP, hybrid evidence fusion, domain trust verification, retrieval-augmented generation, cybersecurity</w:t>
      </w:r>
    </w:p>
    <w:p>
      <w:pPr>
        <w:pStyle w:val="48"/>
        <w:spacing w:before="0" w:after="0"/>
      </w:pPr>
      <w:r>
        <w:rPr>
          <w:rFonts w:ascii="Times New Roman" w:hAnsi="Times New Roman"/>
          <w:sz w:val="18"/>
        </w:rPr>
        <w:t xml:space="preserve">Category:</w:t>
      </w:r>
      <w:r>
        <w:rPr>
          <w:rFonts w:ascii="Times New Roman" w:hAnsi="Times New Roman"/>
          <w:sz w:val="18"/>
        </w:rPr>
        <w:t xml:space="preserve"> To be selected from the J.UCS classification schema during submission.</w:t>
      </w:r>
    </w:p>
    <w:p>
      <w:pPr>
        <w:pStyle w:val="48"/>
        <w:spacing w:before="0" w:after="0"/>
      </w:pPr>
      <w:r>
        <w:rPr>
          <w:rFonts w:ascii="Times New Roman" w:hAnsi="Times New Roman"/>
          <w:b/>
          <w:sz w:val="18"/>
        </w:rPr>
        <w:t xml:space="preserve">DOI:</w:t>
      </w:r>
      <w:r>
        <w:rPr>
          <w:rFonts w:ascii="Times New Roman" w:hAnsi="Times New Roman"/>
          <w:sz w:val="18"/>
        </w:rPr>
        <w:t xml:space="preserve"> To be assigned by J.UCS</w:t>
      </w:r>
    </w:p>
    <w:p>
      <w:pPr>
        <w:pStyle w:val="2"/>
        <w:ind w:firstLine="0"/>
        <w:jc w:val="left"/>
      </w:pPr>
      <w:r>
        <w:rPr>
          <w:rFonts w:ascii="Times New Roman" w:hAnsi="Times New Roman"/>
          <w:b/>
          <w:sz w:val="24"/>
        </w:rPr>
        <w:t xml:space="preserve">1  Introduction</w:t>
      </w:r>
    </w:p>
    <w:p>
      <w:pPr>
        <w:ind w:firstLine="0"/>
      </w:pPr>
      <w:r>
        <w:rPr>
          <w:rFonts w:ascii="Times New Roman" w:hAnsi="Times New Roman"/>
          <w:sz w:val="20"/>
        </w:rPr>
        <w:t xml:space="preserve">Phishing is a form of social engineering in which an attacker pretends to be a trusted person, service or organisation in order to persuade a victim to give away sensitive information. Its origins are usually traced to the growth of online services in the 1990s, when attackers began impersonating trusted services to obtain account details [Rekouche 2011]. Since then it has grown into convincing websites that copy legitimate branding, login pages and payment forms, yet the goal is unchanged: to exploit trust rather than a software vulnerability.</w:t>
      </w:r>
    </w:p>
    <w:p>
      <w:pPr>
        <w:ind w:firstLine="340"/>
      </w:pPr>
      <w:r>
        <w:rPr>
          <w:rFonts w:ascii="Times New Roman" w:hAnsi="Times New Roman"/>
          <w:sz w:val="20"/>
        </w:rPr>
        <w:t xml:space="preserve">Modern phishing campaigns can switch domains quickly, make use of compromised hosting and alter page content to slip past static detection. Community feeds such as APWG, PhishTank and OpenPhish show how fast-moving the problem is [APWG, PhishTank, OpenPhish]. Blacklists built from these feeds are valuable, but they are reactive by nature, and many phishing pages are active for some time before they are listed [Sheng et al. 2009]. This is why research moved from blacklists and rules towards content analysis and machine learning.</w:t>
      </w:r>
    </w:p>
    <w:p>
      <w:pPr>
        <w:ind w:firstLine="340"/>
      </w:pPr>
      <w:r>
        <w:rPr>
          <w:rFonts w:ascii="Times New Roman" w:hAnsi="Times New Roman"/>
          <w:sz w:val="20"/>
        </w:rPr>
        <w:t xml:space="preserve">Even so, many existing detectors still rely on a single source of evidence, such as the URL string, a blacklist or a small set of hand-engineered webpage statistics. Each has its own blind spot. URL-only models cannot read the page, blacklists only react to reported threats, handcrafted features may miss semantic cues in the text, and visual methods need screenshots and reference brands. The problem we address is therefore how to combine structural cybersecurity evidence with the semantic content of the webpage in a single classifier, with an explanation layer, tested against strong baselines on the same split.</w:t>
      </w:r>
    </w:p>
    <w:p>
      <w:pPr>
        <w:ind w:firstLine="340"/>
      </w:pPr>
      <w:r>
        <w:rPr>
          <w:rFonts w:ascii="Times New Roman" w:hAnsi="Times New Roman"/>
          <w:sz w:val="20"/>
        </w:rPr>
        <w:t xml:space="preserve">Looking at the literature, we see five related gaps. Semantic evidence is limited, since most detectors focus on URL or structural characteristics and transformer-based phishing studies often work on the URL rather than on the meaning of the page text [Maneriker et al. 2021, Le et al. 2018, Sanh et al. 2019]. Evidence fusion is limited, because URL, HTML, visual and semantic signals are usually treated separately. Explanations rarely go beyond a score: SHAP shows which features were influential, but a practical detector also needs contextual evidence. Controlled comparisons are scarce, as published accuracies come from different datasets and protocols. Finally, real URLs may be unreachable or incomplete, yet many systems assume that HTML is always available.</w:t>
      </w:r>
    </w:p>
    <w:p>
      <w:pPr>
        <w:ind w:firstLine="340"/>
      </w:pPr>
      <w:r>
        <w:rPr>
          <w:rFonts w:ascii="Times New Roman" w:hAnsi="Times New Roman"/>
          <w:sz w:val="20"/>
        </w:rPr>
        <w:t xml:space="preserve">Our objectives follow from these gaps: to fuse DistilBERT embeddings with 23 engineered features; to compare a LightGBM classifier with Random Forest, XGBoost, CatBoost, an optimised XGBoost and an earlier neural fusion model on the same test data; to evaluate it with ten metrics and an ablation; to ground its explanations in TreeSHAP, domain verification, page evidence and RAG; and to deliver a FastAPI and React application with a URL-only fallback.</w:t>
      </w:r>
    </w:p>
    <w:p>
      <w:pPr>
        <w:ind w:firstLine="340"/>
      </w:pPr>
      <w:r>
        <w:rPr>
          <w:rFonts w:ascii="Times New Roman" w:hAnsi="Times New Roman"/>
          <w:sz w:val="20"/>
        </w:rPr>
        <w:t xml:space="preserve">The study addresses five research questions, answered briefly here:</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RQ1. Does adding DistilBERT embeddings to engineered features improve detection? Yes: accuracy rises from 85.90% to 88.30% and ROC-AUC from 93.78% to 95.54% (Section 5.6).</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RQ2. How does the hybrid compare with controlled tree-based baselines? It is the strongest controlled model, ahead of LightGBM by 2.40 points in accuracy and 2.52 in F1-score (Section 5.4).</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RQ3. Can the framework explain more than a probability score? Yes, through TreeSHAP, domain verification, page evidence and RAG, although explanation quality has not been user-tested.</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RQ4. How does the model behave outside its training distribution? On CompPhish it reaches 68.80% accuracy, 98.40% recall and 39.20% specificity (Section 5.7).</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RQ5. Can the framework still give a verdict when a page cannot be retrieved? Yes, through URL-only analysis, which is treated as a limitation (Section 8).</w:t>
      </w:r>
    </w:p>
    <w:p>
      <w:pPr>
        <w:ind w:firstLine="340"/>
      </w:pPr>
      <w:r>
        <w:rPr>
          <w:rFonts w:ascii="Times New Roman" w:hAnsi="Times New Roman"/>
          <w:sz w:val="20"/>
        </w:rPr>
        <w:t xml:space="preserve">The main contributions of the paper are:</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A Hybrid Evidence Fusion representation that combines 23 engineered cybersecurity features with a 768-dimensional DistilBERT embedding of the webpage text.</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A controlled LightGBM evaluation against Random Forest, XGBoost, CatBoost, LightGBM and a DistilBERT-only ablation, all on the identical D1 split.</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An explanation pipeline that combines TreeSHAP, domain trust verification, webpage evidence and retrieval-augmented, LLM-generated explanations.</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A deployable FastAPI and React/TypeScript/Vite implementation with a URL-only fallback, together with an honest analysis of both the in-distribution result and the loss of specificity on external data.</w:t>
      </w:r>
    </w:p>
    <w:p>
      <w:pPr>
        <w:ind w:firstLine="340"/>
      </w:pPr>
      <w:r>
        <w:rPr>
          <w:rFonts w:ascii="Times New Roman" w:hAnsi="Times New Roman"/>
          <w:sz w:val="20"/>
        </w:rPr>
        <w:t xml:space="preserve">The rest of the paper is organised as follows. Section 2 reviews related research and identifies the gap this work addresses. Section 3 presents the methodology, the web application and the datasets, while Section 4 describes the experimental setup. Section 5 reports the results, Section 6 compares them with published systems, and Section 7 discusses them. Section 8 outlines the limitations, and Sections 9 and 10 conclude the paper and identify directions for future work.</w:t>
      </w:r>
    </w:p>
    <w:p>
      <w:pPr>
        <w:pStyle w:val="2"/>
        <w:ind w:firstLine="0"/>
        <w:jc w:val="left"/>
      </w:pPr>
      <w:r>
        <w:rPr>
          <w:rFonts w:ascii="Times New Roman" w:hAnsi="Times New Roman"/>
          <w:b/>
          <w:sz w:val="24"/>
        </w:rPr>
        <w:t xml:space="preserve">2  Related Work</w:t>
      </w:r>
    </w:p>
    <w:p>
      <w:pPr>
        <w:ind w:firstLine="0"/>
      </w:pPr>
      <w:r>
        <w:rPr>
          <w:rFonts w:ascii="Times New Roman" w:hAnsi="Times New Roman"/>
          <w:sz w:val="20"/>
        </w:rPr>
        <w:t xml:space="preserve">Early work on phishing detection opened several complementary directions. CANTINA used TF-IDF representations of page content together with a set of heuristics and correctly labelled approximately 95% of phishing sites [Zhang et al. 2007]. Google’s large-scale classifier combined URL and page-content signals to maintain a phishing blacklist at web scale, and it still classified more than 90% of phishing pages correctly several weeks after training [Whittaker et al. 2010]. Abu-Nimeh et al. compared several classifiers for the task [Abu-Nimeh et al. 2007], and rule-based classification supported interpretable decisions, although it depended on the chosen rules and features [Mohammad et al. 2014].</w:t>
      </w:r>
    </w:p>
    <w:p>
      <w:pPr>
        <w:ind w:firstLine="340"/>
      </w:pPr>
      <w:r>
        <w:rPr>
          <w:rFonts w:ascii="Times New Roman" w:hAnsi="Times New Roman"/>
          <w:sz w:val="20"/>
        </w:rPr>
        <w:t xml:space="preserve">Visual methods changed the evidence altogether. Phishpedia used logo recognition and brand matching to identify phishing pages and to give a visual explanation of its decision [Lin et al. 2021], while VisualPhishNet learned visual similarity between webpages and reported strong zero-day performance [Abdelnabi et al. 2020]. These systems work well when a screenshot and a reference brand are available, but they show that no single type of evidence suits every phishing scenario.</w:t>
      </w:r>
    </w:p>
    <w:p>
      <w:pPr>
        <w:ind w:firstLine="340"/>
      </w:pPr>
      <w:r>
        <w:rPr>
          <w:rFonts w:ascii="Times New Roman" w:hAnsi="Times New Roman"/>
          <w:sz w:val="20"/>
        </w:rPr>
        <w:t xml:space="preserve">Machine-learning studies then moved towards richer URL and webpage representations. PhishStorm used intra-URL relatedness and streaming analytics, reaching 94.91% accuracy with a 1.44% false-positive rate [Marchal et al. 2014]. Sahingoz et al. combined NLP-based URL features with several classifiers and reported 97.98% accuracy [Sahingoz et al. 2019]. Rao and Pais combined URL, webpage and third-party features and achieved strong detection performance, although reliance on external information can affect portability [Rao and Pais 2019]. Aljofey et al. combined URL character sequences, hyperlink information and webpage text and HTML features with XGBoost, reporting 96.76% accuracy on D1 and 98.48% on their benchmark dataset [Aljofey et al. 2022]. Tree ensembles remain hard to beat on tabular feature data [Grinsztajn et al. 2022, Shwartz-Ziv and Armon 2022], although results depend heavily on how benchmark datasets are built [Hannousse and Yahiouche 2021].</w:t>
      </w:r>
    </w:p>
    <w:p>
      <w:pPr>
        <w:ind w:firstLine="340"/>
      </w:pPr>
      <w:r>
        <w:rPr>
          <w:rFonts w:ascii="Times New Roman" w:hAnsi="Times New Roman"/>
          <w:sz w:val="20"/>
        </w:rPr>
        <w:t xml:space="preserve">Deep learning reduced the dependence on manually designed representations. URLNet learns character- and word-level URL representations with convolutional networks [Le et al. 2018], Aljofey et al. studied a character-level CNN for phishing URLs [Aljofey et al. 2020], HTMLPhish applies deep learning directly to the HTML source [Opara et al. 2020], and URLTran showed that transformers can improve phishing URL detection [Maneriker et al. 2021]. The Transformer architecture and BERT introduced contextual language representations [Vaswani et al. 2017, Devlin et al. 2019], and DistilBERT offers a smaller pretrained encoder that is well suited to feature extraction [Sanh et al. 2019]. In PhishXpert we use DistilBERT not as an end-to-end classifier but as a frozen semantic encoder, and let LightGBM combine its embedding with explicit cybersecurity features.</w:t>
      </w:r>
    </w:p>
    <w:p>
      <w:pPr>
        <w:ind w:firstLine="340"/>
      </w:pPr>
      <w:r>
        <w:rPr>
          <w:rFonts w:ascii="Times New Roman" w:hAnsi="Times New Roman"/>
          <w:sz w:val="20"/>
        </w:rPr>
        <w:t xml:space="preserve">Explainability is the last strand of related work. SHAP attributes a prediction to the model’s input features using Shapley values [Lundberg and Lee 2017], TreeSHAP provides an efficient and exact implementation for tree ensembles [Lundberg et al. 2020], and LIME fits local surrogate models around individual predictions [Ribeiro et al. 2016]. Retrieval-augmented generation (RAG) grounds a language model in retrieved documents rather than only in its internal knowledge [Lewis et al. 2020]. PhishXpert brings these ideas together: TreeSHAP supplies feature attribution, domain and page evidence supply context, and retrieval provides supporting cybersecurity knowledge before the final explanation is generated.</w:t>
      </w:r>
    </w:p>
    <w:p>
      <w:pPr>
        <w:ind w:firstLine="340"/>
      </w:pPr>
      <w:r>
        <w:rPr>
          <w:rFonts w:ascii="Times New Roman" w:hAnsi="Times New Roman"/>
          <w:sz w:val="20"/>
        </w:rPr>
        <w:t xml:space="preserve">Table 1 summarises the previous models discussed above, the outcomes they reported and their main limitations. Because these studies use different datasets and protocols, the outcomes are given for context rather than as a head-to-head ranking.</w:t>
      </w:r>
    </w:p>
    <w:tbl>
      <w:tblPr>
        <w:tblStyle w:val="29"/>
        <w:tblW w:w="6915"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519"/>
        <w:gridCol w:w="1549"/>
        <w:gridCol w:w="1649"/>
        <w:gridCol w:w="1649"/>
        <w:gridCol w:w="1549"/>
      </w:tblGrid>
      <w:tr>
        <w:trPr>
          <w:cantSplit/>
          <w:tblHeader/>
          <w:jc w:val="center"/>
        </w:trPr>
        <w:tc>
          <w:tcPr>
            <w:tcW w:w="519" w:type="dxa"/>
            <w:tcBorders>
              <w:bottom w:val="single" w:color="000000" w:sz="4" w:space="0"/>
            </w:tcBorders>
            <w:vAlign w:val="center"/>
          </w:tcPr>
          <w:p>
            <w:pPr>
              <w:spacing w:before="20" w:after="20"/>
              <w:ind w:firstLine="0"/>
              <w:jc w:val="center"/>
            </w:pPr>
            <w:r>
              <w:rPr>
                <w:rFonts w:ascii="Times New Roman" w:hAnsi="Times New Roman"/>
                <w:b/>
                <w:sz w:val="14"/>
              </w:rPr>
              <w:t xml:space="preserve">S. No.</w:t>
            </w:r>
          </w:p>
        </w:tc>
        <w:tc>
          <w:tcPr>
            <w:tcW w:w="1549" w:type="dxa"/>
            <w:tcBorders>
              <w:bottom w:val="single" w:color="000000" w:sz="4" w:space="0"/>
            </w:tcBorders>
            <w:vAlign w:val="center"/>
          </w:tcPr>
          <w:p>
            <w:pPr>
              <w:spacing w:before="20" w:after="20"/>
              <w:ind w:firstLine="0"/>
              <w:jc w:val="center"/>
            </w:pPr>
            <w:r>
              <w:rPr>
                <w:rFonts w:ascii="Times New Roman" w:hAnsi="Times New Roman"/>
                <w:b/>
                <w:sz w:val="14"/>
              </w:rPr>
              <w:t xml:space="preserve">Author(s)</w:t>
            </w:r>
          </w:p>
        </w:tc>
        <w:tc>
          <w:tcPr>
            <w:tcW w:w="1649" w:type="dxa"/>
            <w:tcBorders>
              <w:bottom w:val="single" w:color="000000" w:sz="4" w:space="0"/>
            </w:tcBorders>
            <w:vAlign w:val="center"/>
          </w:tcPr>
          <w:p>
            <w:pPr>
              <w:spacing w:before="20" w:after="20"/>
              <w:ind w:firstLine="0"/>
              <w:jc w:val="center"/>
            </w:pPr>
            <w:r>
              <w:rPr>
                <w:rFonts w:ascii="Times New Roman" w:hAnsi="Times New Roman"/>
                <w:b/>
                <w:sz w:val="14"/>
              </w:rPr>
              <w:t xml:space="preserve">Model / method</w:t>
            </w:r>
          </w:p>
        </w:tc>
        <w:tc>
          <w:tcPr>
            <w:tcW w:w="1649" w:type="dxa"/>
            <w:tcBorders>
              <w:bottom w:val="single" w:color="000000" w:sz="4" w:space="0"/>
            </w:tcBorders>
            <w:vAlign w:val="center"/>
          </w:tcPr>
          <w:p>
            <w:pPr>
              <w:spacing w:before="20" w:after="20"/>
              <w:ind w:firstLine="0"/>
              <w:jc w:val="center"/>
            </w:pPr>
            <w:r>
              <w:rPr>
                <w:rFonts w:ascii="Times New Roman" w:hAnsi="Times New Roman"/>
                <w:b/>
                <w:sz w:val="14"/>
              </w:rPr>
              <w:t xml:space="preserve">Outcome</w:t>
            </w:r>
          </w:p>
        </w:tc>
        <w:tc>
          <w:tcPr>
            <w:tcW w:w="1549" w:type="dxa"/>
            <w:tcBorders>
              <w:bottom w:val="single" w:color="000000" w:sz="4" w:space="0"/>
            </w:tcBorders>
            <w:vAlign w:val="center"/>
          </w:tcPr>
          <w:p>
            <w:pPr>
              <w:spacing w:before="20" w:after="20"/>
              <w:ind w:firstLine="0"/>
              <w:jc w:val="center"/>
            </w:pPr>
            <w:r>
              <w:rPr>
                <w:rFonts w:ascii="Times New Roman" w:hAnsi="Times New Roman"/>
                <w:b/>
                <w:sz w:val="14"/>
              </w:rPr>
              <w:t xml:space="preserve">Limitations</w:t>
            </w:r>
          </w:p>
        </w:tc>
      </w:tr>
      <w:tr>
        <w:trPr>
          <w:cantSplit/>
          <w:jc w:val="center"/>
        </w:trPr>
        <w:tc>
          <w:tcPr>
            <w:tcW w:w="519" w:type="dxa"/>
            <w:vAlign w:val="center"/>
          </w:tcPr>
          <w:p>
            <w:pPr>
              <w:keepNext/>
              <w:spacing w:before="20" w:after="20"/>
              <w:ind w:firstLine="0"/>
              <w:jc w:val="center"/>
            </w:pPr>
            <w:r>
              <w:rPr>
                <w:rFonts w:ascii="Times New Roman" w:hAnsi="Times New Roman"/>
                <w:sz w:val="14"/>
              </w:rPr>
              <w:t xml:space="preserve">1</w:t>
            </w:r>
          </w:p>
        </w:tc>
        <w:tc>
          <w:tcPr>
            <w:tcW w:w="1549" w:type="dxa"/>
            <w:vAlign w:val="center"/>
          </w:tcPr>
          <w:p>
            <w:pPr>
              <w:keepNext/>
              <w:spacing w:before="20" w:after="20"/>
              <w:ind w:firstLine="0"/>
              <w:jc w:val="left"/>
            </w:pPr>
            <w:r>
              <w:rPr>
                <w:rFonts w:ascii="Times New Roman" w:hAnsi="Times New Roman"/>
                <w:sz w:val="14"/>
              </w:rPr>
              <w:t xml:space="preserve">Zhang et al. 2007 (CANTINA)</w:t>
            </w:r>
          </w:p>
        </w:tc>
        <w:tc>
          <w:tcPr>
            <w:tcW w:w="1649" w:type="dxa"/>
            <w:vAlign w:val="center"/>
          </w:tcPr>
          <w:p>
            <w:pPr>
              <w:keepNext/>
              <w:spacing w:before="20" w:after="20"/>
              <w:ind w:firstLine="0"/>
              <w:jc w:val="left"/>
            </w:pPr>
            <w:r>
              <w:rPr>
                <w:rFonts w:ascii="Times New Roman" w:hAnsi="Times New Roman"/>
                <w:sz w:val="14"/>
              </w:rPr>
              <w:t xml:space="preserve">TF-IDF content analysis + heuristics</w:t>
            </w:r>
          </w:p>
        </w:tc>
        <w:tc>
          <w:tcPr>
            <w:tcW w:w="1649" w:type="dxa"/>
            <w:vAlign w:val="center"/>
          </w:tcPr>
          <w:p>
            <w:pPr>
              <w:keepNext/>
              <w:spacing w:before="20" w:after="20"/>
              <w:ind w:firstLine="0"/>
              <w:jc w:val="left"/>
            </w:pPr>
            <w:r>
              <w:rPr>
                <w:rFonts w:ascii="Times New Roman" w:hAnsi="Times New Roman"/>
                <w:sz w:val="14"/>
              </w:rPr>
              <w:t xml:space="preserve">About 95% of phishing sites correctly labelled.</w:t>
            </w:r>
          </w:p>
        </w:tc>
        <w:tc>
          <w:tcPr>
            <w:tcW w:w="1549" w:type="dxa"/>
            <w:vAlign w:val="center"/>
          </w:tcPr>
          <w:p>
            <w:pPr>
              <w:keepNext/>
              <w:spacing w:before="20" w:after="20"/>
              <w:ind w:firstLine="0"/>
              <w:jc w:val="left"/>
            </w:pPr>
            <w:r>
              <w:rPr>
                <w:rFonts w:ascii="Times New Roman" w:hAnsi="Times New Roman"/>
                <w:sz w:val="14"/>
              </w:rPr>
              <w:t xml:space="preserve">Search-engine dependent; heuristics can cause false positives.</w:t>
            </w:r>
          </w:p>
        </w:tc>
      </w:tr>
      <w:tr>
        <w:trPr>
          <w:cantSplit/>
          <w:jc w:val="center"/>
        </w:trPr>
        <w:tc>
          <w:tcPr>
            <w:tcW w:w="519" w:type="dxa"/>
            <w:vAlign w:val="center"/>
          </w:tcPr>
          <w:p>
            <w:pPr>
              <w:keepNext/>
              <w:spacing w:before="20" w:after="20"/>
              <w:ind w:firstLine="0"/>
              <w:jc w:val="center"/>
            </w:pPr>
            <w:r>
              <w:rPr>
                <w:rFonts w:ascii="Times New Roman" w:hAnsi="Times New Roman"/>
                <w:sz w:val="14"/>
              </w:rPr>
              <w:t xml:space="preserve">2</w:t>
            </w:r>
          </w:p>
        </w:tc>
        <w:tc>
          <w:tcPr>
            <w:tcW w:w="1549" w:type="dxa"/>
            <w:vAlign w:val="center"/>
          </w:tcPr>
          <w:p>
            <w:pPr>
              <w:keepNext/>
              <w:spacing w:before="20" w:after="20"/>
              <w:ind w:firstLine="0"/>
              <w:jc w:val="left"/>
            </w:pPr>
            <w:r>
              <w:rPr>
                <w:rFonts w:ascii="Times New Roman" w:hAnsi="Times New Roman"/>
                <w:sz w:val="14"/>
              </w:rPr>
              <w:t xml:space="preserve">Whittaker et al. 2010</w:t>
            </w:r>
          </w:p>
        </w:tc>
        <w:tc>
          <w:tcPr>
            <w:tcW w:w="1649" w:type="dxa"/>
            <w:vAlign w:val="center"/>
          </w:tcPr>
          <w:p>
            <w:pPr>
              <w:keepNext/>
              <w:spacing w:before="20" w:after="20"/>
              <w:ind w:firstLine="0"/>
              <w:jc w:val="left"/>
            </w:pPr>
            <w:r>
              <w:rPr>
                <w:rFonts w:ascii="Times New Roman" w:hAnsi="Times New Roman"/>
                <w:sz w:val="14"/>
              </w:rPr>
              <w:t xml:space="preserve">URL + page-content machine learning</w:t>
            </w:r>
          </w:p>
        </w:tc>
        <w:tc>
          <w:tcPr>
            <w:tcW w:w="1649" w:type="dxa"/>
            <w:vAlign w:val="center"/>
          </w:tcPr>
          <w:p>
            <w:pPr>
              <w:keepNext/>
              <w:spacing w:before="20" w:after="20"/>
              <w:ind w:firstLine="0"/>
              <w:jc w:val="left"/>
            </w:pPr>
            <w:r>
              <w:rPr>
                <w:rFonts w:ascii="Times New Roman" w:hAnsi="Times New Roman"/>
                <w:sz w:val="14"/>
              </w:rPr>
              <w:t xml:space="preserve">Over 90% correct several weeks after training.</w:t>
            </w:r>
          </w:p>
        </w:tc>
        <w:tc>
          <w:tcPr>
            <w:tcW w:w="1549" w:type="dxa"/>
            <w:vAlign w:val="center"/>
          </w:tcPr>
          <w:p>
            <w:pPr>
              <w:keepNext/>
              <w:spacing w:before="20" w:after="20"/>
              <w:ind w:firstLine="0"/>
              <w:jc w:val="left"/>
            </w:pPr>
            <w:r>
              <w:rPr>
                <w:rFonts w:ascii="Times New Roman" w:hAnsi="Times New Roman"/>
                <w:sz w:val="14"/>
              </w:rPr>
              <w:t xml:space="preserve">Needs live data and periodic retraining.</w:t>
            </w:r>
          </w:p>
        </w:tc>
      </w:tr>
      <w:tr>
        <w:trPr>
          <w:cantSplit/>
          <w:jc w:val="center"/>
        </w:trPr>
        <w:tc>
          <w:tcPr>
            <w:tcW w:w="519" w:type="dxa"/>
            <w:vAlign w:val="center"/>
          </w:tcPr>
          <w:p>
            <w:pPr>
              <w:keepNext/>
              <w:spacing w:before="20" w:after="20"/>
              <w:ind w:firstLine="0"/>
              <w:jc w:val="center"/>
            </w:pPr>
            <w:r>
              <w:rPr>
                <w:rFonts w:ascii="Times New Roman" w:hAnsi="Times New Roman"/>
                <w:sz w:val="14"/>
              </w:rPr>
              <w:t xml:space="preserve">3</w:t>
            </w:r>
          </w:p>
        </w:tc>
        <w:tc>
          <w:tcPr>
            <w:tcW w:w="1549" w:type="dxa"/>
            <w:vAlign w:val="center"/>
          </w:tcPr>
          <w:p>
            <w:pPr>
              <w:keepNext/>
              <w:spacing w:before="20" w:after="20"/>
              <w:ind w:firstLine="0"/>
              <w:jc w:val="left"/>
            </w:pPr>
            <w:r>
              <w:rPr>
                <w:rFonts w:ascii="Times New Roman" w:hAnsi="Times New Roman"/>
                <w:sz w:val="14"/>
              </w:rPr>
              <w:t xml:space="preserve">Mohammad et al. 2014</w:t>
            </w:r>
          </w:p>
        </w:tc>
        <w:tc>
          <w:tcPr>
            <w:tcW w:w="1649" w:type="dxa"/>
            <w:vAlign w:val="center"/>
          </w:tcPr>
          <w:p>
            <w:pPr>
              <w:keepNext/>
              <w:spacing w:before="20" w:after="20"/>
              <w:ind w:firstLine="0"/>
              <w:jc w:val="left"/>
            </w:pPr>
            <w:r>
              <w:rPr>
                <w:rFonts w:ascii="Times New Roman" w:hAnsi="Times New Roman"/>
                <w:sz w:val="14"/>
              </w:rPr>
              <w:t xml:space="preserve">Rule induction over website features</w:t>
            </w:r>
          </w:p>
        </w:tc>
        <w:tc>
          <w:tcPr>
            <w:tcW w:w="1649" w:type="dxa"/>
            <w:vAlign w:val="center"/>
          </w:tcPr>
          <w:p>
            <w:pPr>
              <w:keepNext/>
              <w:spacing w:before="20" w:after="20"/>
              <w:ind w:firstLine="0"/>
              <w:jc w:val="left"/>
            </w:pPr>
            <w:r>
              <w:rPr>
                <w:rFonts w:ascii="Times New Roman" w:hAnsi="Times New Roman"/>
                <w:sz w:val="14"/>
              </w:rPr>
              <w:t xml:space="preserve">C4.5 gave the lowest average error.</w:t>
            </w:r>
          </w:p>
        </w:tc>
        <w:tc>
          <w:tcPr>
            <w:tcW w:w="1549" w:type="dxa"/>
            <w:vAlign w:val="center"/>
          </w:tcPr>
          <w:p>
            <w:pPr>
              <w:keepNext/>
              <w:spacing w:before="20" w:after="20"/>
              <w:ind w:firstLine="0"/>
              <w:jc w:val="left"/>
            </w:pPr>
            <w:r>
              <w:rPr>
                <w:rFonts w:ascii="Times New Roman" w:hAnsi="Times New Roman"/>
                <w:sz w:val="14"/>
              </w:rPr>
              <w:t xml:space="preserve">Depends on chosen rules and handcrafted features.</w:t>
            </w:r>
          </w:p>
        </w:tc>
      </w:tr>
      <w:tr>
        <w:trPr>
          <w:cantSplit/>
          <w:jc w:val="center"/>
        </w:trPr>
        <w:tc>
          <w:tcPr>
            <w:tcW w:w="519" w:type="dxa"/>
            <w:vAlign w:val="center"/>
          </w:tcPr>
          <w:p>
            <w:pPr>
              <w:keepNext/>
              <w:spacing w:before="20" w:after="20"/>
              <w:ind w:firstLine="0"/>
              <w:jc w:val="center"/>
            </w:pPr>
            <w:r>
              <w:rPr>
                <w:rFonts w:ascii="Times New Roman" w:hAnsi="Times New Roman"/>
                <w:sz w:val="14"/>
              </w:rPr>
              <w:t xml:space="preserve">4</w:t>
            </w:r>
          </w:p>
        </w:tc>
        <w:tc>
          <w:tcPr>
            <w:tcW w:w="1549" w:type="dxa"/>
            <w:vAlign w:val="center"/>
          </w:tcPr>
          <w:p>
            <w:pPr>
              <w:keepNext/>
              <w:spacing w:before="20" w:after="20"/>
              <w:ind w:firstLine="0"/>
              <w:jc w:val="left"/>
            </w:pPr>
            <w:r>
              <w:rPr>
                <w:rFonts w:ascii="Times New Roman" w:hAnsi="Times New Roman"/>
                <w:sz w:val="14"/>
              </w:rPr>
              <w:t xml:space="preserve">Lin et al. 2021 (Phishpedia)</w:t>
            </w:r>
          </w:p>
        </w:tc>
        <w:tc>
          <w:tcPr>
            <w:tcW w:w="1649" w:type="dxa"/>
            <w:vAlign w:val="center"/>
          </w:tcPr>
          <w:p>
            <w:pPr>
              <w:keepNext/>
              <w:spacing w:before="20" w:after="20"/>
              <w:ind w:firstLine="0"/>
              <w:jc w:val="left"/>
            </w:pPr>
            <w:r>
              <w:rPr>
                <w:rFonts w:ascii="Times New Roman" w:hAnsi="Times New Roman"/>
                <w:sz w:val="14"/>
              </w:rPr>
              <w:t xml:space="preserve">Logo detection + deep brand matching</w:t>
            </w:r>
          </w:p>
        </w:tc>
        <w:tc>
          <w:tcPr>
            <w:tcW w:w="1649" w:type="dxa"/>
            <w:vAlign w:val="center"/>
          </w:tcPr>
          <w:p>
            <w:pPr>
              <w:keepNext/>
              <w:spacing w:before="20" w:after="20"/>
              <w:ind w:firstLine="0"/>
              <w:jc w:val="left"/>
            </w:pPr>
            <w:r>
              <w:rPr>
                <w:rFonts w:ascii="Times New Roman" w:hAnsi="Times New Roman"/>
                <w:sz w:val="14"/>
              </w:rPr>
              <w:t xml:space="preserve">High accuracy, low runtime; found 1,704 live phishing sites in 30 days.</w:t>
            </w:r>
          </w:p>
        </w:tc>
        <w:tc>
          <w:tcPr>
            <w:tcW w:w="1549" w:type="dxa"/>
            <w:vAlign w:val="center"/>
          </w:tcPr>
          <w:p>
            <w:pPr>
              <w:keepNext/>
              <w:spacing w:before="20" w:after="20"/>
              <w:ind w:firstLine="0"/>
              <w:jc w:val="left"/>
            </w:pPr>
            <w:r>
              <w:rPr>
                <w:rFonts w:ascii="Times New Roman" w:hAnsi="Times New Roman"/>
                <w:sz w:val="14"/>
              </w:rPr>
              <w:t xml:space="preserve">Needs screenshots and a reference brand set.</w:t>
            </w:r>
          </w:p>
        </w:tc>
      </w:tr>
      <w:tr>
        <w:trPr>
          <w:cantSplit/>
          <w:jc w:val="center"/>
        </w:trPr>
        <w:tc>
          <w:tcPr>
            <w:tcW w:w="519" w:type="dxa"/>
            <w:vAlign w:val="center"/>
          </w:tcPr>
          <w:p>
            <w:pPr>
              <w:keepNext/>
              <w:spacing w:before="20" w:after="20"/>
              <w:ind w:firstLine="0"/>
              <w:jc w:val="center"/>
            </w:pPr>
            <w:r>
              <w:rPr>
                <w:rFonts w:ascii="Times New Roman" w:hAnsi="Times New Roman"/>
                <w:sz w:val="14"/>
              </w:rPr>
              <w:t xml:space="preserve">5</w:t>
            </w:r>
          </w:p>
        </w:tc>
        <w:tc>
          <w:tcPr>
            <w:tcW w:w="1549" w:type="dxa"/>
            <w:vAlign w:val="center"/>
          </w:tcPr>
          <w:p>
            <w:pPr>
              <w:keepNext/>
              <w:spacing w:before="20" w:after="20"/>
              <w:ind w:firstLine="0"/>
              <w:jc w:val="left"/>
            </w:pPr>
            <w:r>
              <w:rPr>
                <w:rFonts w:ascii="Times New Roman" w:hAnsi="Times New Roman"/>
                <w:sz w:val="14"/>
              </w:rPr>
              <w:t xml:space="preserve">Abdelnabi et al. 2020 (VisualPhishNet)</w:t>
            </w:r>
          </w:p>
        </w:tc>
        <w:tc>
          <w:tcPr>
            <w:tcW w:w="1649" w:type="dxa"/>
            <w:vAlign w:val="center"/>
          </w:tcPr>
          <w:p>
            <w:pPr>
              <w:keepNext/>
              <w:spacing w:before="20" w:after="20"/>
              <w:ind w:firstLine="0"/>
              <w:jc w:val="left"/>
            </w:pPr>
            <w:r>
              <w:rPr>
                <w:rFonts w:ascii="Times New Roman" w:hAnsi="Times New Roman"/>
                <w:sz w:val="14"/>
              </w:rPr>
              <w:t xml:space="preserve">Triplet-network visual similarity</w:t>
            </w:r>
          </w:p>
        </w:tc>
        <w:tc>
          <w:tcPr>
            <w:tcW w:w="1649" w:type="dxa"/>
            <w:vAlign w:val="center"/>
          </w:tcPr>
          <w:p>
            <w:pPr>
              <w:keepNext/>
              <w:spacing w:before="20" w:after="20"/>
              <w:ind w:firstLine="0"/>
              <w:jc w:val="left"/>
            </w:pPr>
            <w:r>
              <w:rPr>
                <w:rFonts w:ascii="Times New Roman" w:hAnsi="Times New Roman"/>
                <w:sz w:val="14"/>
              </w:rPr>
              <w:t xml:space="preserve">ROC-AUC of 98.79% on the VisualPhish dataset.</w:t>
            </w:r>
          </w:p>
        </w:tc>
        <w:tc>
          <w:tcPr>
            <w:tcW w:w="1549" w:type="dxa"/>
            <w:vAlign w:val="center"/>
          </w:tcPr>
          <w:p>
            <w:pPr>
              <w:keepNext/>
              <w:spacing w:before="20" w:after="20"/>
              <w:ind w:firstLine="0"/>
              <w:jc w:val="left"/>
            </w:pPr>
            <w:r>
              <w:rPr>
                <w:rFonts w:ascii="Times New Roman" w:hAnsi="Times New Roman"/>
                <w:sz w:val="14"/>
              </w:rPr>
              <w:t xml:space="preserve">Pop-ups and visual changes affect similarity.</w:t>
            </w:r>
          </w:p>
        </w:tc>
      </w:tr>
      <w:tr>
        <w:trPr>
          <w:cantSplit/>
          <w:jc w:val="center"/>
        </w:trPr>
        <w:tc>
          <w:tcPr>
            <w:tcW w:w="519" w:type="dxa"/>
            <w:vAlign w:val="center"/>
          </w:tcPr>
          <w:p>
            <w:pPr>
              <w:keepNext/>
              <w:spacing w:before="20" w:after="20"/>
              <w:ind w:firstLine="0"/>
              <w:jc w:val="center"/>
            </w:pPr>
            <w:r>
              <w:rPr>
                <w:rFonts w:ascii="Times New Roman" w:hAnsi="Times New Roman"/>
                <w:sz w:val="14"/>
              </w:rPr>
              <w:t xml:space="preserve">6</w:t>
            </w:r>
          </w:p>
        </w:tc>
        <w:tc>
          <w:tcPr>
            <w:tcW w:w="1549" w:type="dxa"/>
            <w:vAlign w:val="center"/>
          </w:tcPr>
          <w:p>
            <w:pPr>
              <w:keepNext/>
              <w:spacing w:before="20" w:after="20"/>
              <w:ind w:firstLine="0"/>
              <w:jc w:val="left"/>
            </w:pPr>
            <w:r>
              <w:rPr>
                <w:rFonts w:ascii="Times New Roman" w:hAnsi="Times New Roman"/>
                <w:sz w:val="14"/>
              </w:rPr>
              <w:t xml:space="preserve">Marchal et al. 2014 (PhishStorm)</w:t>
            </w:r>
          </w:p>
        </w:tc>
        <w:tc>
          <w:tcPr>
            <w:tcW w:w="1649" w:type="dxa"/>
            <w:vAlign w:val="center"/>
          </w:tcPr>
          <w:p>
            <w:pPr>
              <w:keepNext/>
              <w:spacing w:before="20" w:after="20"/>
              <w:ind w:firstLine="0"/>
              <w:jc w:val="left"/>
            </w:pPr>
            <w:r>
              <w:rPr>
                <w:rFonts w:ascii="Times New Roman" w:hAnsi="Times New Roman"/>
                <w:sz w:val="14"/>
              </w:rPr>
              <w:t xml:space="preserve">URL relatedness + Random Forest + streaming analytics</w:t>
            </w:r>
          </w:p>
        </w:tc>
        <w:tc>
          <w:tcPr>
            <w:tcW w:w="1649" w:type="dxa"/>
            <w:vAlign w:val="center"/>
          </w:tcPr>
          <w:p>
            <w:pPr>
              <w:keepNext/>
              <w:spacing w:before="20" w:after="20"/>
              <w:ind w:firstLine="0"/>
              <w:jc w:val="left"/>
            </w:pPr>
            <w:r>
              <w:rPr>
                <w:rFonts w:ascii="Times New Roman" w:hAnsi="Times New Roman"/>
                <w:sz w:val="14"/>
              </w:rPr>
              <w:t xml:space="preserve">94.91% accuracy with a 1.44% false-positive rate.</w:t>
            </w:r>
          </w:p>
        </w:tc>
        <w:tc>
          <w:tcPr>
            <w:tcW w:w="1549" w:type="dxa"/>
            <w:vAlign w:val="center"/>
          </w:tcPr>
          <w:p>
            <w:pPr>
              <w:keepNext/>
              <w:spacing w:before="20" w:after="20"/>
              <w:ind w:firstLine="0"/>
              <w:jc w:val="left"/>
            </w:pPr>
            <w:r>
              <w:rPr>
                <w:rFonts w:ascii="Times New Roman" w:hAnsi="Times New Roman"/>
                <w:sz w:val="14"/>
              </w:rPr>
              <w:t xml:space="preserve">Uses search-engine queries; URL based.</w:t>
            </w:r>
          </w:p>
        </w:tc>
      </w:tr>
      <w:tr>
        <w:trPr>
          <w:cantSplit/>
          <w:jc w:val="center"/>
        </w:trPr>
        <w:tc>
          <w:tcPr>
            <w:tcW w:w="519" w:type="dxa"/>
            <w:vAlign w:val="center"/>
          </w:tcPr>
          <w:p>
            <w:pPr>
              <w:keepNext/>
              <w:spacing w:before="20" w:after="20"/>
              <w:ind w:firstLine="0"/>
              <w:jc w:val="center"/>
            </w:pPr>
            <w:r>
              <w:rPr>
                <w:rFonts w:ascii="Times New Roman" w:hAnsi="Times New Roman"/>
                <w:sz w:val="14"/>
              </w:rPr>
              <w:t xml:space="preserve">7</w:t>
            </w:r>
          </w:p>
        </w:tc>
        <w:tc>
          <w:tcPr>
            <w:tcW w:w="1549" w:type="dxa"/>
            <w:vAlign w:val="center"/>
          </w:tcPr>
          <w:p>
            <w:pPr>
              <w:keepNext/>
              <w:spacing w:before="20" w:after="20"/>
              <w:ind w:firstLine="0"/>
              <w:jc w:val="left"/>
            </w:pPr>
            <w:r>
              <w:rPr>
                <w:rFonts w:ascii="Times New Roman" w:hAnsi="Times New Roman"/>
                <w:sz w:val="14"/>
              </w:rPr>
              <w:t xml:space="preserve">Sahingoz et al. 2019</w:t>
            </w:r>
          </w:p>
        </w:tc>
        <w:tc>
          <w:tcPr>
            <w:tcW w:w="1649" w:type="dxa"/>
            <w:vAlign w:val="center"/>
          </w:tcPr>
          <w:p>
            <w:pPr>
              <w:keepNext/>
              <w:spacing w:before="20" w:after="20"/>
              <w:ind w:firstLine="0"/>
              <w:jc w:val="left"/>
            </w:pPr>
            <w:r>
              <w:rPr>
                <w:rFonts w:ascii="Times New Roman" w:hAnsi="Times New Roman"/>
                <w:sz w:val="14"/>
              </w:rPr>
              <w:t xml:space="preserve">NLP URL features + multiple classifiers</w:t>
            </w:r>
          </w:p>
        </w:tc>
        <w:tc>
          <w:tcPr>
            <w:tcW w:w="1649" w:type="dxa"/>
            <w:vAlign w:val="center"/>
          </w:tcPr>
          <w:p>
            <w:pPr>
              <w:keepNext/>
              <w:spacing w:before="20" w:after="20"/>
              <w:ind w:firstLine="0"/>
              <w:jc w:val="left"/>
            </w:pPr>
            <w:r>
              <w:rPr>
                <w:rFonts w:ascii="Times New Roman" w:hAnsi="Times New Roman"/>
                <w:sz w:val="14"/>
              </w:rPr>
              <w:t xml:space="preserve">97.98% accuracy with the Random Forest/NLP configuration.</w:t>
            </w:r>
          </w:p>
        </w:tc>
        <w:tc>
          <w:tcPr>
            <w:tcW w:w="1549" w:type="dxa"/>
            <w:vAlign w:val="center"/>
          </w:tcPr>
          <w:p>
            <w:pPr>
              <w:keepNext/>
              <w:spacing w:before="20" w:after="20"/>
              <w:ind w:firstLine="0"/>
              <w:jc w:val="left"/>
            </w:pPr>
            <w:r>
              <w:rPr>
                <w:rFonts w:ascii="Times New Roman" w:hAnsi="Times New Roman"/>
                <w:sz w:val="14"/>
              </w:rPr>
              <w:t xml:space="preserve">URL-only; misses page content and unseen patterns.</w:t>
            </w:r>
          </w:p>
        </w:tc>
      </w:tr>
      <w:tr>
        <w:trPr>
          <w:cantSplit/>
          <w:jc w:val="center"/>
        </w:trPr>
        <w:tc>
          <w:tcPr>
            <w:tcW w:w="519" w:type="dxa"/>
            <w:vAlign w:val="center"/>
          </w:tcPr>
          <w:p>
            <w:pPr>
              <w:keepNext/>
              <w:spacing w:before="20" w:after="20"/>
              <w:ind w:firstLine="0"/>
              <w:jc w:val="center"/>
            </w:pPr>
            <w:r>
              <w:rPr>
                <w:rFonts w:ascii="Times New Roman" w:hAnsi="Times New Roman"/>
                <w:sz w:val="14"/>
              </w:rPr>
              <w:t xml:space="preserve">8</w:t>
            </w:r>
          </w:p>
        </w:tc>
        <w:tc>
          <w:tcPr>
            <w:tcW w:w="1549" w:type="dxa"/>
            <w:vAlign w:val="center"/>
          </w:tcPr>
          <w:p>
            <w:pPr>
              <w:keepNext/>
              <w:spacing w:before="20" w:after="20"/>
              <w:ind w:firstLine="0"/>
              <w:jc w:val="left"/>
            </w:pPr>
            <w:r>
              <w:rPr>
                <w:rFonts w:ascii="Times New Roman" w:hAnsi="Times New Roman"/>
                <w:sz w:val="14"/>
              </w:rPr>
              <w:t xml:space="preserve">Rao and Pais 2019</w:t>
            </w:r>
          </w:p>
        </w:tc>
        <w:tc>
          <w:tcPr>
            <w:tcW w:w="1649" w:type="dxa"/>
            <w:vAlign w:val="center"/>
          </w:tcPr>
          <w:p>
            <w:pPr>
              <w:keepNext/>
              <w:spacing w:before="20" w:after="20"/>
              <w:ind w:firstLine="0"/>
              <w:jc w:val="left"/>
            </w:pPr>
            <w:r>
              <w:rPr>
                <w:rFonts w:ascii="Times New Roman" w:hAnsi="Times New Roman"/>
                <w:sz w:val="14"/>
              </w:rPr>
              <w:t xml:space="preserve">URL, webpage and third-party features</w:t>
            </w:r>
          </w:p>
        </w:tc>
        <w:tc>
          <w:tcPr>
            <w:tcW w:w="1649" w:type="dxa"/>
            <w:vAlign w:val="center"/>
          </w:tcPr>
          <w:p>
            <w:pPr>
              <w:keepNext/>
              <w:spacing w:before="20" w:after="20"/>
              <w:ind w:firstLine="0"/>
              <w:jc w:val="left"/>
            </w:pPr>
            <w:r>
              <w:rPr>
                <w:rFonts w:ascii="Times New Roman" w:hAnsi="Times New Roman"/>
                <w:sz w:val="14"/>
              </w:rPr>
              <w:t xml:space="preserve">98.25% accuracy on the benchmark comparison.</w:t>
            </w:r>
          </w:p>
        </w:tc>
        <w:tc>
          <w:tcPr>
            <w:tcW w:w="1549" w:type="dxa"/>
            <w:vAlign w:val="center"/>
          </w:tcPr>
          <w:p>
            <w:pPr>
              <w:keepNext/>
              <w:spacing w:before="20" w:after="20"/>
              <w:ind w:firstLine="0"/>
              <w:jc w:val="left"/>
            </w:pPr>
            <w:r>
              <w:rPr>
                <w:rFonts w:ascii="Times New Roman" w:hAnsi="Times New Roman"/>
                <w:sz w:val="14"/>
              </w:rPr>
              <w:t xml:space="preserve">Third-party data reduces portability.</w:t>
            </w:r>
          </w:p>
        </w:tc>
      </w:tr>
      <w:tr>
        <w:trPr>
          <w:cantSplit/>
          <w:jc w:val="center"/>
        </w:trPr>
        <w:tc>
          <w:tcPr>
            <w:tcW w:w="519" w:type="dxa"/>
            <w:vAlign w:val="center"/>
          </w:tcPr>
          <w:p>
            <w:pPr>
              <w:keepNext/>
              <w:spacing w:before="20" w:after="20"/>
              <w:ind w:firstLine="0"/>
              <w:jc w:val="center"/>
            </w:pPr>
            <w:r>
              <w:rPr>
                <w:rFonts w:ascii="Times New Roman" w:hAnsi="Times New Roman"/>
                <w:sz w:val="14"/>
              </w:rPr>
              <w:t xml:space="preserve">9</w:t>
            </w:r>
          </w:p>
        </w:tc>
        <w:tc>
          <w:tcPr>
            <w:tcW w:w="1549" w:type="dxa"/>
            <w:vAlign w:val="center"/>
          </w:tcPr>
          <w:p>
            <w:pPr>
              <w:keepNext/>
              <w:spacing w:before="20" w:after="20"/>
              <w:ind w:firstLine="0"/>
              <w:jc w:val="left"/>
            </w:pPr>
            <w:r>
              <w:rPr>
                <w:rFonts w:ascii="Times New Roman" w:hAnsi="Times New Roman"/>
                <w:sz w:val="14"/>
              </w:rPr>
              <w:t xml:space="preserve">Aljofey et al. 2022</w:t>
            </w:r>
          </w:p>
        </w:tc>
        <w:tc>
          <w:tcPr>
            <w:tcW w:w="1649" w:type="dxa"/>
            <w:vAlign w:val="center"/>
          </w:tcPr>
          <w:p>
            <w:pPr>
              <w:keepNext/>
              <w:spacing w:before="20" w:after="20"/>
              <w:ind w:firstLine="0"/>
              <w:jc w:val="left"/>
            </w:pPr>
            <w:r>
              <w:rPr>
                <w:rFonts w:ascii="Times New Roman" w:hAnsi="Times New Roman"/>
                <w:sz w:val="14"/>
              </w:rPr>
              <w:t xml:space="preserve">URL character features + hyperlinks + HTML/text + XGBoost</w:t>
            </w:r>
          </w:p>
        </w:tc>
        <w:tc>
          <w:tcPr>
            <w:tcW w:w="1649" w:type="dxa"/>
            <w:vAlign w:val="center"/>
          </w:tcPr>
          <w:p>
            <w:pPr>
              <w:keepNext/>
              <w:spacing w:before="20" w:after="20"/>
              <w:ind w:firstLine="0"/>
              <w:jc w:val="left"/>
            </w:pPr>
            <w:r>
              <w:rPr>
                <w:rFonts w:ascii="Times New Roman" w:hAnsi="Times New Roman"/>
                <w:sz w:val="14"/>
              </w:rPr>
              <w:t xml:space="preserve">96.76% accuracy on D1 and 98.48% on the benchmark dataset.</w:t>
            </w:r>
          </w:p>
        </w:tc>
        <w:tc>
          <w:tcPr>
            <w:tcW w:w="1549" w:type="dxa"/>
            <w:vAlign w:val="center"/>
          </w:tcPr>
          <w:p>
            <w:pPr>
              <w:keepNext/>
              <w:spacing w:before="20" w:after="20"/>
              <w:ind w:firstLine="0"/>
              <w:jc w:val="left"/>
            </w:pPr>
            <w:r>
              <w:rPr>
                <w:rFonts w:ascii="Times New Roman" w:hAnsi="Times New Roman"/>
                <w:sz w:val="14"/>
              </w:rPr>
              <w:t xml:space="preserve">Needs HTML; language-dependent text features.</w:t>
            </w:r>
          </w:p>
        </w:tc>
      </w:tr>
      <w:tr>
        <w:trPr>
          <w:cantSplit/>
          <w:jc w:val="center"/>
        </w:trPr>
        <w:tc>
          <w:tcPr>
            <w:tcW w:w="519" w:type="dxa"/>
            <w:vAlign w:val="center"/>
          </w:tcPr>
          <w:p>
            <w:pPr>
              <w:keepNext/>
              <w:spacing w:before="20" w:after="20"/>
              <w:ind w:firstLine="0"/>
              <w:jc w:val="center"/>
            </w:pPr>
            <w:r>
              <w:rPr>
                <w:rFonts w:ascii="Times New Roman" w:hAnsi="Times New Roman"/>
                <w:sz w:val="14"/>
              </w:rPr>
              <w:t xml:space="preserve">10</w:t>
            </w:r>
          </w:p>
        </w:tc>
        <w:tc>
          <w:tcPr>
            <w:tcW w:w="1549" w:type="dxa"/>
            <w:vAlign w:val="center"/>
          </w:tcPr>
          <w:p>
            <w:pPr>
              <w:keepNext/>
              <w:spacing w:before="20" w:after="20"/>
              <w:ind w:firstLine="0"/>
              <w:jc w:val="left"/>
            </w:pPr>
            <w:r>
              <w:rPr>
                <w:rFonts w:ascii="Times New Roman" w:hAnsi="Times New Roman"/>
                <w:sz w:val="14"/>
              </w:rPr>
              <w:t xml:space="preserve">Le et al. 2018 (URLNet)</w:t>
            </w:r>
          </w:p>
        </w:tc>
        <w:tc>
          <w:tcPr>
            <w:tcW w:w="1649" w:type="dxa"/>
            <w:vAlign w:val="center"/>
          </w:tcPr>
          <w:p>
            <w:pPr>
              <w:keepNext/>
              <w:spacing w:before="20" w:after="20"/>
              <w:ind w:firstLine="0"/>
              <w:jc w:val="left"/>
            </w:pPr>
            <w:r>
              <w:rPr>
                <w:rFonts w:ascii="Times New Roman" w:hAnsi="Times New Roman"/>
                <w:sz w:val="14"/>
              </w:rPr>
              <w:t xml:space="preserve">Character- and word-level CNN for URLs</w:t>
            </w:r>
          </w:p>
        </w:tc>
        <w:tc>
          <w:tcPr>
            <w:tcW w:w="1649" w:type="dxa"/>
            <w:vAlign w:val="center"/>
          </w:tcPr>
          <w:p>
            <w:pPr>
              <w:keepNext/>
              <w:spacing w:before="20" w:after="20"/>
              <w:ind w:firstLine="0"/>
              <w:jc w:val="left"/>
            </w:pPr>
            <w:r>
              <w:rPr>
                <w:rFonts w:ascii="Times New Roman" w:hAnsi="Times New Roman"/>
                <w:sz w:val="14"/>
              </w:rPr>
              <w:t xml:space="preserve">Learns URL representations automatically.</w:t>
            </w:r>
          </w:p>
        </w:tc>
        <w:tc>
          <w:tcPr>
            <w:tcW w:w="1549" w:type="dxa"/>
            <w:vAlign w:val="center"/>
          </w:tcPr>
          <w:p>
            <w:pPr>
              <w:keepNext/>
              <w:spacing w:before="20" w:after="20"/>
              <w:ind w:firstLine="0"/>
              <w:jc w:val="left"/>
            </w:pPr>
            <w:r>
              <w:rPr>
                <w:rFonts w:ascii="Times New Roman" w:hAnsi="Times New Roman"/>
                <w:sz w:val="14"/>
              </w:rPr>
              <w:t xml:space="preserve">URL-only; no page text or HTML evidence.</w:t>
            </w:r>
          </w:p>
        </w:tc>
      </w:tr>
    </w:tbl>
    <w:p>
      <w:pPr>
        <w:pStyle w:val="74"/>
        <w:jc w:val="center"/>
      </w:pPr>
      <w:r>
        <w:rPr>
          <w:rFonts w:ascii="Times New Roman" w:hAnsi="Times New Roman"/>
          <w:i/>
          <w:sz w:val="20"/>
        </w:rPr>
        <w:t xml:space="preserve">Table 1: Previous models, their outcomes and limitations.</w:t>
      </w:r>
    </w:p>
    <w:p>
      <w:pPr>
        <w:ind w:firstLine="340"/>
      </w:pPr>
      <w:r>
        <w:rPr>
          <w:rFonts w:ascii="Times New Roman" w:hAnsi="Times New Roman"/>
          <w:sz w:val="20"/>
        </w:rPr>
        <w:t xml:space="preserve">Taken together, URL-only systems can miss page semantics, HTML-based or visual systems need extra content or rendering, and deep models can be hard to interpret. Few studies combine explicit structural features with a contextual embedding of the page text inside one attributable classifier, and this is the gap PhishXpert addresses.</w:t>
      </w:r>
    </w:p>
    <w:p>
      <w:pPr>
        <w:pStyle w:val="2"/>
        <w:ind w:firstLine="0"/>
        <w:jc w:val="left"/>
      </w:pPr>
      <w:r>
        <w:rPr>
          <w:rFonts w:ascii="Times New Roman" w:hAnsi="Times New Roman"/>
          <w:b/>
          <w:sz w:val="24"/>
        </w:rPr>
        <w:t xml:space="preserve">3  Proposed Methodology</w:t>
      </w:r>
    </w:p>
    <w:p>
      <w:pPr>
        <w:pStyle w:val="3"/>
        <w:ind w:firstLine="0"/>
        <w:jc w:val="left"/>
      </w:pPr>
      <w:r>
        <w:rPr>
          <w:rFonts w:ascii="Times New Roman" w:hAnsi="Times New Roman"/>
          <w:b/>
          <w:sz w:val="20"/>
        </w:rPr>
        <w:t xml:space="preserve">3.1  Overall Framework</w:t>
      </w:r>
    </w:p>
    <w:p>
      <w:pPr>
        <w:ind w:firstLine="0"/>
      </w:pPr>
      <w:r>
        <w:rPr>
          <w:rFonts w:ascii="Times New Roman" w:hAnsi="Times New Roman"/>
          <w:sz w:val="20"/>
        </w:rPr>
        <w:t xml:space="preserve">Figure 1 shows the pipeline. For an input URL, the system first tries to retrieve the webpage and extracts 23 engineered URL, HTML, hyperlink and form features. The visible text goes to a frozen DistilBERT encoder (first 512 characters, truncation and padding, first-token pooling), giving a 768-dimensional embedding. The two vectors are concatenated into a 791-dimensional representation and classified by LightGBM. TreeSHAP provides attribution, and domain verification, webpage evidence and a retrieval-augmented knowledge base support the explanation. If retrieval fails, the system switches to URL-only analysis rather than inventing page evidence.</w:t>
      </w:r>
    </w:p>
    <w:p>
      <w:pPr>
        <w:keepNext/>
        <w:spacing w:before="200" w:after="120"/>
        <w:ind w:firstLine="0"/>
        <w:jc w:val="center"/>
      </w:pPr>
      <w:r>
        <w:drawing>
          <wp:inline distT="0" distB="0" distL="0" distR="0">
            <wp:extent cx="3840480" cy="2180058"/>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a:picLocks noChangeAspect="1"/>
                    </pic:cNvPicPr>
                  </pic:nvPicPr>
                  <pic:blipFill>
                    <a:blip r:embed="rIdImg1"/>
                    <a:stretch>
                      <a:fillRect/>
                    </a:stretch>
                  </pic:blipFill>
                  <pic:spPr>
                    <a:xfrm>
                      <a:off x="0" y="0"/>
                      <a:ext cx="3840480" cy="2180058"/>
                    </a:xfrm>
                    <a:prstGeom prst="rect">
                      <a:avLst/>
                    </a:prstGeom>
                  </pic:spPr>
                </pic:pic>
              </a:graphicData>
            </a:graphic>
          </wp:inline>
        </w:drawing>
      </w:r>
    </w:p>
    <w:p>
      <w:pPr>
        <w:pStyle w:val="74"/>
        <w:jc w:val="center"/>
      </w:pPr>
      <w:r>
        <w:rPr>
          <w:rFonts w:ascii="Times New Roman" w:hAnsi="Times New Roman"/>
          <w:i/>
          <w:sz w:val="20"/>
        </w:rPr>
        <w:t xml:space="preserve">Figure 1: Architecture of the proposed PhishXpert hybrid framework.</w:t>
      </w:r>
    </w:p>
    <w:p>
      <w:pPr>
        <w:pStyle w:val="4"/>
        <w:jc w:val="left"/>
      </w:pPr>
      <w:r>
        <w:rPr>
          <w:rFonts w:ascii="Times New Roman" w:hAnsi="Times New Roman"/>
          <w:b/>
          <w:sz w:val="20"/>
        </w:rPr>
        <w:t xml:space="preserve">3.1.1  Web Application Architecture</w:t>
      </w:r>
    </w:p>
    <w:p>
      <w:pPr>
        <w:ind w:firstLine="0"/>
      </w:pPr>
      <w:r>
        <w:rPr>
          <w:rFonts w:ascii="Times New Roman" w:hAnsi="Times New Roman"/>
          <w:sz w:val="20"/>
        </w:rPr>
        <w:t xml:space="preserve">The model evaluated here is the machine-learning core of the wider PhishXpert application. The frontend, built with React, TypeScript and Vite, lets a user submit a URL and shows the verdict, confidence and evidence summary. The FastAPI backend coordinates the workflow: it retrieves the page, extracts the engineered features and visible text, runs DistilBERT and LightGBM, computes TreeSHAP attributions and assembles the explanation from domain verification, page evidence and retrieved security knowledge. If a page cannot be fetched, it falls back to URL-only analysis. Note that the 88.30% result reported later is not an end-to-end accuracy for live URLs, since retrieval failures and URL-only decisions were not evaluated.</w:t>
      </w:r>
    </w:p>
    <w:p>
      <w:pPr>
        <w:pStyle w:val="3"/>
        <w:ind w:firstLine="0"/>
        <w:jc w:val="left"/>
      </w:pPr>
      <w:r>
        <w:rPr>
          <w:rFonts w:ascii="Times New Roman" w:hAnsi="Times New Roman"/>
          <w:b/>
          <w:sz w:val="20"/>
        </w:rPr>
        <w:t xml:space="preserve">3.2  Dataset</w:t>
      </w:r>
    </w:p>
    <w:p>
      <w:pPr>
        <w:ind w:firstLine="0"/>
      </w:pPr>
      <w:r>
        <w:rPr>
          <w:rFonts w:ascii="Times New Roman" w:hAnsi="Times New Roman"/>
          <w:sz w:val="20"/>
        </w:rPr>
        <w:t xml:space="preserve">Two datasets are used in this study. D1 is the primary source dataset and contains 60,252 webpages, of which 27,280 are phishing and 32,972 are benign [Aljofey et al. 2022]. Because our experiments were designed as a controlled and balanced comparison, we sampled a reproducible subset of 5,000 pages from D1 using random seed 42, with 2,500 pages from each class.</w:t>
      </w:r>
    </w:p>
    <w:p>
      <w:pPr>
        <w:ind w:firstLine="340"/>
      </w:pPr>
      <w:r>
        <w:rPr>
          <w:rFonts w:ascii="Times New Roman" w:hAnsi="Times New Roman"/>
          <w:sz w:val="20"/>
        </w:rPr>
        <w:t xml:space="preserve">CompPhish contains 15,358 labelled webpages [Goenka 2026] and is used only for external validation. The 3,000-page external evaluation uses records for which HTML was available. All headline in-distribution results are therefore based on the 5,000-page D1 experiment, not on the full 60,252-page source dataset.</w:t>
      </w:r>
    </w:p>
    <w:p>
      <w:pPr>
        <w:pStyle w:val="3"/>
        <w:ind w:firstLine="0"/>
        <w:jc w:val="left"/>
      </w:pPr>
      <w:r>
        <w:rPr>
          <w:rFonts w:ascii="Times New Roman" w:hAnsi="Times New Roman"/>
          <w:b/>
          <w:sz w:val="20"/>
        </w:rPr>
        <w:t xml:space="preserve">3.3  Data Splitting</w:t>
      </w:r>
    </w:p>
    <w:p>
      <w:pPr>
        <w:ind w:firstLine="0"/>
      </w:pPr>
      <w:r>
        <w:rPr>
          <w:rFonts w:ascii="Times New Roman" w:hAnsi="Times New Roman"/>
          <w:sz w:val="20"/>
        </w:rPr>
        <w:t xml:space="preserve">The balanced 5,000-page subset was divided into 4,000 training samples (2,000 per class) and 1,000 test samples (500 per class) using a stratified train_test_split with test_size = 0.20 and random_state = 42. The 3,000-page CompPhish sample contains 1,500 benign and 1,500 phishing pages.</w:t>
      </w:r>
    </w:p>
    <w:p>
      <w:pPr>
        <w:pStyle w:val="3"/>
        <w:ind w:firstLine="0"/>
        <w:jc w:val="left"/>
      </w:pPr>
      <w:r>
        <w:rPr>
          <w:rFonts w:ascii="Times New Roman" w:hAnsi="Times New Roman"/>
          <w:b/>
          <w:sz w:val="20"/>
        </w:rPr>
        <w:t xml:space="preserve">3.4  Data Preprocessing</w:t>
      </w:r>
    </w:p>
    <w:p>
      <w:pPr>
        <w:ind w:firstLine="0"/>
      </w:pPr>
      <w:r>
        <w:rPr>
          <w:rFonts w:ascii="Times New Roman" w:hAnsi="Times New Roman"/>
          <w:sz w:val="20"/>
        </w:rPr>
        <w:t xml:space="preserve">Preprocessing was kept deliberately conservative. The original labels (−1 and 1) are mapped to benign (0) and phishing (1). URLs are lowercased where appropriate, and their scheme and host are parsed. Scripts, styles and markup are stripped from the HTML, and the visible text is kept as input to the semantic encoder. Where a page could not be retrieved or parsed, the HTML-derived features and the text embedding are set to zero. Tree models are unaffected by monotonic scaling, so scaling is applied only to the neural prototype.</w:t>
      </w:r>
    </w:p>
    <w:p>
      <w:pPr>
        <w:pStyle w:val="3"/>
        <w:ind w:firstLine="0"/>
        <w:jc w:val="left"/>
      </w:pPr>
      <w:r>
        <w:rPr>
          <w:rFonts w:ascii="Times New Roman" w:hAnsi="Times New Roman"/>
          <w:b/>
          <w:sz w:val="20"/>
        </w:rPr>
        <w:t xml:space="preserve">3.5  Feature Engineering</w:t>
      </w:r>
    </w:p>
    <w:p>
      <w:pPr>
        <w:ind w:firstLine="0"/>
      </w:pPr>
      <w:r>
        <w:rPr>
          <w:rFonts w:ascii="Times New Roman" w:hAnsi="Times New Roman"/>
          <w:sz w:val="20"/>
        </w:rPr>
        <w:t xml:space="preserve">Each sample is described by four groups of engineered features, 23 in total, and one semantic group. Table 2 lists the engineered groups.</w:t>
      </w:r>
    </w:p>
    <w:tbl>
      <w:tblPr>
        <w:tblStyle w:val="29"/>
        <w:tblW w:w="680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1500"/>
        <w:gridCol w:w="700"/>
        <w:gridCol w:w="4600"/>
      </w:tblGrid>
      <w:tr>
        <w:trPr>
          <w:cantSplit/>
          <w:tblHeader/>
          <w:jc w:val="center"/>
        </w:trPr>
        <w:tc>
          <w:tcPr>
            <w:tcW w:w="1500" w:type="dxa"/>
            <w:tcBorders>
              <w:bottom w:val="single" w:color="000000" w:sz="4" w:space="0"/>
            </w:tcBorders>
            <w:vAlign w:val="center"/>
          </w:tcPr>
          <w:p>
            <w:pPr>
              <w:spacing w:before="20" w:after="20"/>
              <w:ind w:firstLine="0"/>
              <w:jc w:val="left"/>
            </w:pPr>
            <w:r>
              <w:rPr>
                <w:rFonts w:ascii="Times New Roman" w:hAnsi="Times New Roman"/>
                <w:b/>
                <w:sz w:val="17"/>
              </w:rPr>
              <w:t xml:space="preserve">Feature group</w:t>
            </w:r>
          </w:p>
        </w:tc>
        <w:tc>
          <w:tcPr>
            <w:tcW w:w="700" w:type="dxa"/>
            <w:tcBorders>
              <w:bottom w:val="single" w:color="000000" w:sz="4" w:space="0"/>
            </w:tcBorders>
            <w:vAlign w:val="center"/>
          </w:tcPr>
          <w:p>
            <w:pPr>
              <w:spacing w:before="20" w:after="20"/>
              <w:ind w:firstLine="0"/>
              <w:jc w:val="center"/>
            </w:pPr>
            <w:r>
              <w:rPr>
                <w:rFonts w:ascii="Times New Roman" w:hAnsi="Times New Roman"/>
                <w:b/>
                <w:sz w:val="17"/>
              </w:rPr>
              <w:t xml:space="preserve">Count</w:t>
            </w:r>
          </w:p>
        </w:tc>
        <w:tc>
          <w:tcPr>
            <w:tcW w:w="4600" w:type="dxa"/>
            <w:tcBorders>
              <w:bottom w:val="single" w:color="000000" w:sz="4" w:space="0"/>
            </w:tcBorders>
            <w:vAlign w:val="center"/>
          </w:tcPr>
          <w:p>
            <w:pPr>
              <w:spacing w:before="20" w:after="20"/>
              <w:ind w:firstLine="0"/>
              <w:jc w:val="center"/>
            </w:pPr>
            <w:r>
              <w:rPr>
                <w:rFonts w:ascii="Times New Roman" w:hAnsi="Times New Roman"/>
                <w:b/>
                <w:sz w:val="17"/>
              </w:rPr>
              <w:t xml:space="preserve">Features</w:t>
            </w:r>
          </w:p>
        </w:tc>
      </w:tr>
      <w:tr>
        <w:trPr>
          <w:cantSplit/>
          <w:jc w:val="center"/>
        </w:trPr>
        <w:tc>
          <w:tcPr>
            <w:tcW w:w="1500" w:type="dxa"/>
            <w:vAlign w:val="center"/>
          </w:tcPr>
          <w:p>
            <w:pPr>
              <w:keepNext/>
              <w:spacing w:before="20" w:after="20"/>
              <w:ind w:firstLine="0"/>
              <w:jc w:val="left"/>
            </w:pPr>
            <w:r>
              <w:rPr>
                <w:rFonts w:ascii="Times New Roman" w:hAnsi="Times New Roman"/>
                <w:sz w:val="17"/>
              </w:rPr>
              <w:t xml:space="preserve">URL</w:t>
            </w:r>
          </w:p>
        </w:tc>
        <w:tc>
          <w:tcPr>
            <w:tcW w:w="700" w:type="dxa"/>
            <w:vAlign w:val="center"/>
          </w:tcPr>
          <w:p>
            <w:pPr>
              <w:keepNext/>
              <w:spacing w:before="20" w:after="20"/>
              <w:ind w:firstLine="0"/>
              <w:jc w:val="center"/>
            </w:pPr>
            <w:r>
              <w:rPr>
                <w:rFonts w:ascii="Times New Roman" w:hAnsi="Times New Roman"/>
                <w:sz w:val="17"/>
              </w:rPr>
              <w:t xml:space="preserve">13</w:t>
            </w:r>
          </w:p>
        </w:tc>
        <w:tc>
          <w:tcPr>
            <w:tcW w:w="4600" w:type="dxa"/>
            <w:vAlign w:val="center"/>
          </w:tcPr>
          <w:p>
            <w:pPr>
              <w:keepNext/>
              <w:spacing w:before="20" w:after="20"/>
              <w:ind w:firstLine="0"/>
              <w:jc w:val="left"/>
            </w:pPr>
            <w:r>
              <w:rPr>
                <w:rFonts w:ascii="Times New Roman" w:hAnsi="Times New Roman"/>
                <w:sz w:val="17"/>
              </w:rPr>
              <w:t xml:space="preserve">URL length; domain, path and query length; counts of dots, hyphens and underscores; digit count; special-character count; URL entropy; HTTPS indicator; IP-address-host indicator; suspicious-keyword count</w:t>
            </w:r>
          </w:p>
        </w:tc>
      </w:tr>
      <w:tr>
        <w:trPr>
          <w:cantSplit/>
          <w:jc w:val="center"/>
        </w:trPr>
        <w:tc>
          <w:tcPr>
            <w:tcW w:w="1500" w:type="dxa"/>
            <w:vAlign w:val="center"/>
          </w:tcPr>
          <w:p>
            <w:pPr>
              <w:keepNext/>
              <w:spacing w:before="20" w:after="20"/>
              <w:ind w:firstLine="0"/>
              <w:jc w:val="left"/>
            </w:pPr>
            <w:r>
              <w:rPr>
                <w:rFonts w:ascii="Times New Roman" w:hAnsi="Times New Roman"/>
                <w:sz w:val="17"/>
              </w:rPr>
              <w:t xml:space="preserve">HTML content</w:t>
            </w:r>
          </w:p>
        </w:tc>
        <w:tc>
          <w:tcPr>
            <w:tcW w:w="700" w:type="dxa"/>
            <w:vAlign w:val="center"/>
          </w:tcPr>
          <w:p>
            <w:pPr>
              <w:keepNext/>
              <w:spacing w:before="20" w:after="20"/>
              <w:ind w:firstLine="0"/>
              <w:jc w:val="center"/>
            </w:pPr>
            <w:r>
              <w:rPr>
                <w:rFonts w:ascii="Times New Roman" w:hAnsi="Times New Roman"/>
                <w:sz w:val="17"/>
              </w:rPr>
              <w:t xml:space="preserve">2</w:t>
            </w:r>
          </w:p>
        </w:tc>
        <w:tc>
          <w:tcPr>
            <w:tcW w:w="4600" w:type="dxa"/>
            <w:vAlign w:val="center"/>
          </w:tcPr>
          <w:p>
            <w:pPr>
              <w:keepNext/>
              <w:spacing w:before="20" w:after="20"/>
              <w:ind w:firstLine="0"/>
              <w:jc w:val="left"/>
            </w:pPr>
            <w:r>
              <w:rPr>
                <w:rFonts w:ascii="Times New Roman" w:hAnsi="Times New Roman"/>
                <w:sz w:val="17"/>
              </w:rPr>
              <w:t xml:space="preserve">HTML length; visible-text length</w:t>
            </w:r>
          </w:p>
        </w:tc>
      </w:tr>
      <w:tr>
        <w:trPr>
          <w:cantSplit/>
          <w:jc w:val="center"/>
        </w:trPr>
        <w:tc>
          <w:tcPr>
            <w:tcW w:w="1500" w:type="dxa"/>
            <w:vAlign w:val="center"/>
          </w:tcPr>
          <w:p>
            <w:pPr>
              <w:keepNext/>
              <w:spacing w:before="20" w:after="20"/>
              <w:ind w:firstLine="0"/>
              <w:jc w:val="left"/>
            </w:pPr>
            <w:r>
              <w:rPr>
                <w:rFonts w:ascii="Times New Roman" w:hAnsi="Times New Roman"/>
                <w:sz w:val="17"/>
              </w:rPr>
              <w:t xml:space="preserve">Hyperlink</w:t>
            </w:r>
          </w:p>
        </w:tc>
        <w:tc>
          <w:tcPr>
            <w:tcW w:w="700" w:type="dxa"/>
            <w:vAlign w:val="center"/>
          </w:tcPr>
          <w:p>
            <w:pPr>
              <w:keepNext/>
              <w:spacing w:before="20" w:after="20"/>
              <w:ind w:firstLine="0"/>
              <w:jc w:val="center"/>
            </w:pPr>
            <w:r>
              <w:rPr>
                <w:rFonts w:ascii="Times New Roman" w:hAnsi="Times New Roman"/>
                <w:sz w:val="17"/>
              </w:rPr>
              <w:t xml:space="preserve">3</w:t>
            </w:r>
          </w:p>
        </w:tc>
        <w:tc>
          <w:tcPr>
            <w:tcW w:w="4600" w:type="dxa"/>
            <w:vAlign w:val="center"/>
          </w:tcPr>
          <w:p>
            <w:pPr>
              <w:keepNext/>
              <w:spacing w:before="20" w:after="20"/>
              <w:ind w:firstLine="0"/>
              <w:jc w:val="left"/>
            </w:pPr>
            <w:r>
              <w:rPr>
                <w:rFonts w:ascii="Times New Roman" w:hAnsi="Times New Roman"/>
                <w:sz w:val="17"/>
              </w:rPr>
              <w:t xml:space="preserve">Number of links; number of external links; external-link ratio</w:t>
            </w:r>
          </w:p>
        </w:tc>
      </w:tr>
      <w:tr>
        <w:trPr>
          <w:cantSplit/>
          <w:jc w:val="center"/>
        </w:trPr>
        <w:tc>
          <w:tcPr>
            <w:tcW w:w="1500" w:type="dxa"/>
            <w:vAlign w:val="center"/>
          </w:tcPr>
          <w:p>
            <w:pPr>
              <w:keepNext/>
              <w:spacing w:before="20" w:after="20"/>
              <w:ind w:firstLine="0"/>
              <w:jc w:val="left"/>
            </w:pPr>
            <w:r>
              <w:rPr>
                <w:rFonts w:ascii="Times New Roman" w:hAnsi="Times New Roman"/>
                <w:sz w:val="17"/>
              </w:rPr>
              <w:t xml:space="preserve">Form</w:t>
            </w:r>
          </w:p>
        </w:tc>
        <w:tc>
          <w:tcPr>
            <w:tcW w:w="700" w:type="dxa"/>
            <w:vAlign w:val="center"/>
          </w:tcPr>
          <w:p>
            <w:pPr>
              <w:keepNext/>
              <w:spacing w:before="20" w:after="20"/>
              <w:ind w:firstLine="0"/>
              <w:jc w:val="center"/>
            </w:pPr>
            <w:r>
              <w:rPr>
                <w:rFonts w:ascii="Times New Roman" w:hAnsi="Times New Roman"/>
                <w:sz w:val="17"/>
              </w:rPr>
              <w:t xml:space="preserve">5</w:t>
            </w:r>
          </w:p>
        </w:tc>
        <w:tc>
          <w:tcPr>
            <w:tcW w:w="4600" w:type="dxa"/>
            <w:vAlign w:val="center"/>
          </w:tcPr>
          <w:p>
            <w:pPr>
              <w:keepNext/>
              <w:spacing w:before="20" w:after="20"/>
              <w:ind w:firstLine="0"/>
              <w:jc w:val="left"/>
            </w:pPr>
            <w:r>
              <w:rPr>
                <w:rFonts w:ascii="Times New Roman" w:hAnsi="Times New Roman"/>
                <w:sz w:val="17"/>
              </w:rPr>
              <w:t xml:space="preserve">Form count; password-field presence; login-form indicator; external-form presence; external-form ratio</w:t>
            </w:r>
          </w:p>
        </w:tc>
      </w:tr>
      <w:tr>
        <w:trPr>
          <w:cantSplit/>
          <w:jc w:val="center"/>
        </w:trPr>
        <w:tc>
          <w:tcPr>
            <w:tcW w:w="1500" w:type="dxa"/>
            <w:vAlign w:val="center"/>
          </w:tcPr>
          <w:p>
            <w:pPr>
              <w:keepNext/>
              <w:spacing w:before="20" w:after="20"/>
              <w:ind w:firstLine="0"/>
              <w:jc w:val="left"/>
            </w:pPr>
            <w:r>
              <w:rPr>
                <w:rFonts w:ascii="Times New Roman" w:hAnsi="Times New Roman"/>
                <w:sz w:val="17"/>
              </w:rPr>
              <w:t xml:space="preserve">Semantic text embedding</w:t>
            </w:r>
          </w:p>
        </w:tc>
        <w:tc>
          <w:tcPr>
            <w:tcW w:w="700" w:type="dxa"/>
            <w:vAlign w:val="center"/>
          </w:tcPr>
          <w:p>
            <w:pPr>
              <w:keepNext/>
              <w:spacing w:before="20" w:after="20"/>
              <w:ind w:firstLine="0"/>
              <w:jc w:val="center"/>
            </w:pPr>
            <w:r>
              <w:rPr>
                <w:rFonts w:ascii="Times New Roman" w:hAnsi="Times New Roman"/>
                <w:sz w:val="17"/>
              </w:rPr>
              <w:t xml:space="preserve">768</w:t>
            </w:r>
          </w:p>
        </w:tc>
        <w:tc>
          <w:tcPr>
            <w:tcW w:w="4600" w:type="dxa"/>
            <w:vAlign w:val="center"/>
          </w:tcPr>
          <w:p>
            <w:pPr>
              <w:keepNext/>
              <w:spacing w:before="20" w:after="20"/>
              <w:ind w:firstLine="0"/>
              <w:jc w:val="left"/>
            </w:pPr>
            <w:r>
              <w:rPr>
                <w:rFonts w:ascii="Times New Roman" w:hAnsi="Times New Roman"/>
                <w:sz w:val="17"/>
              </w:rPr>
              <w:t xml:space="preserve">First-token DistilBERT representation of the visible page text</w:t>
            </w:r>
          </w:p>
        </w:tc>
      </w:tr>
    </w:tbl>
    <w:p>
      <w:pPr>
        <w:pStyle w:val="74"/>
        <w:jc w:val="center"/>
      </w:pPr>
      <w:r>
        <w:rPr>
          <w:rFonts w:ascii="Times New Roman" w:hAnsi="Times New Roman"/>
          <w:i/>
          <w:sz w:val="20"/>
        </w:rPr>
        <w:t xml:space="preserve">Table 2: Engineered and semantic feature groups used by PhishXpert Hybrid.</w:t>
      </w:r>
    </w:p>
    <w:p>
      <w:pPr>
        <w:ind w:firstLine="340"/>
      </w:pPr>
      <w:r>
        <w:rPr>
          <w:rFonts w:ascii="Times New Roman" w:hAnsi="Times New Roman"/>
          <w:sz w:val="20"/>
        </w:rPr>
        <w:t xml:space="preserve">The semantic group comes from a pretrained DistilBERT model [Sanh et al. 2019] (distilbert-base-uncased, via Hugging Face Transformers [Wolf et al. 2020]) used as a frozen feature extractor, giving one 768-dimensional vector per page in place of sparse term-frequency features.</w:t>
      </w:r>
    </w:p>
    <w:p>
      <w:pPr>
        <w:pStyle w:val="3"/>
        <w:ind w:firstLine="0"/>
        <w:jc w:val="left"/>
      </w:pPr>
      <w:r>
        <w:rPr>
          <w:rFonts w:ascii="Times New Roman" w:hAnsi="Times New Roman"/>
          <w:b/>
          <w:sz w:val="20"/>
        </w:rPr>
        <w:t xml:space="preserve">3.6  Feature Selection</w:t>
      </w:r>
    </w:p>
    <w:p>
      <w:pPr>
        <w:ind w:firstLine="0"/>
      </w:pPr>
      <w:r>
        <w:rPr>
          <w:rFonts w:ascii="Times New Roman" w:hAnsi="Times New Roman"/>
          <w:sz w:val="20"/>
        </w:rPr>
        <w:t xml:space="preserve">We examined SHAP importance for the 23 engineered features and found that reducing them to a subset of top-ranked features did not improve accuracy, ROC-AUC or PR-AUC, so all 23 features were retained. The 768 embedding dimensions were not reduced either, since LightGBM’s split-gain criterion and column subsampling already select implicitly; importance is therefore reported descriptively (Section 5.5).</w:t>
      </w:r>
    </w:p>
    <w:p>
      <w:pPr>
        <w:pStyle w:val="3"/>
        <w:ind w:firstLine="0"/>
        <w:jc w:val="left"/>
      </w:pPr>
      <w:r>
        <w:rPr>
          <w:rFonts w:ascii="Times New Roman" w:hAnsi="Times New Roman"/>
          <w:b/>
          <w:sz w:val="20"/>
        </w:rPr>
        <w:t xml:space="preserve">3.7  Proposed Model</w:t>
      </w:r>
    </w:p>
    <w:p>
      <w:pPr>
        <w:ind w:firstLine="0"/>
      </w:pPr>
      <w:r>
        <w:rPr>
          <w:rFonts w:ascii="Times New Roman" w:hAnsi="Times New Roman"/>
          <w:sz w:val="20"/>
        </w:rPr>
        <w:t xml:space="preserve">PhishXpert Hybrid works in three stages. In the first stage, the engineered features are extracted as a vector x ∈ ℝ²³. In the second, the frozen DistilBERT encoder maps the page text to an embedding e ∈ ℝ⁷⁶⁸. In the third, Hybrid Evidence Fusion combines the two streams into z = [x; e] ∈ ℝ⁷⁹¹, and LightGBM classifies z.</w:t>
      </w:r>
    </w:p>
    <w:p>
      <w:pPr>
        <w:ind w:firstLine="340"/>
      </w:pPr>
      <w:r>
        <w:rPr>
          <w:rFonts w:ascii="Times New Roman" w:hAnsi="Times New Roman"/>
          <w:sz w:val="20"/>
        </w:rPr>
        <w:t xml:space="preserve">Concatenating the two streams into one tabular vector is deliberate: it keeps every input attributable by TreeSHAP and lets the tree ensemble decide, split by split, whether structural or semantic evidence is more informative in a given region of the feature space. This is early, feature-level fusion, so the LightGBM ensemble is the only trained component. We chose LightGBM because it is efficient with wide feature matrices, supports exact TreeSHAP attribution and is a strong general-purpose classifier for tabular data [Ke et al. 2017, Grinsztajn et al. 2022]. The novelty lies in the integration of the components, not in any one of them.</w:t>
      </w:r>
    </w:p>
    <w:p>
      <w:pPr>
        <w:pStyle w:val="3"/>
        <w:ind w:firstLine="0"/>
        <w:jc w:val="left"/>
      </w:pPr>
      <w:r>
        <w:rPr>
          <w:rFonts w:ascii="Times New Roman" w:hAnsi="Times New Roman"/>
          <w:b/>
          <w:sz w:val="20"/>
        </w:rPr>
        <w:t xml:space="preserve">3.8  Baseline Models</w:t>
      </w:r>
    </w:p>
    <w:p>
      <w:pPr>
        <w:ind w:firstLine="0"/>
      </w:pPr>
      <w:r>
        <w:rPr>
          <w:rFonts w:ascii="Times New Roman" w:hAnsi="Times New Roman"/>
          <w:sz w:val="20"/>
        </w:rPr>
        <w:t xml:space="preserve">All baselines are trained on the same D1 training partition and evaluated on the same test partition:</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Random Forest [Breiman 2001], XGBoost [Chen and Guestrin 2016], CatBoost [Prokhorenkova et al. 2018] and LightGBM [Ke et al. 2017], each trained on the 23 engineered features.</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Optimised XGBoost: XGBoost with hyperparameters selected by search, used as the strongest conventional baseline.</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PhishXpert-NN (prototype): an earlier two-branch neural fusion model whose URL and HTML branches are fully connected, concatenated and mapped to a probability by a sigmoid layer, trained with binary cross-entropy and AdamW [Loshchilov and Hutter 2019] in PyTorch [Paszke et al. 2019].</w:t>
      </w:r>
    </w:p>
    <w:p>
      <w:pPr>
        <w:tabs>
          <w:tab w:val="left" w:pos="340"/>
        </w:tabs>
        <w:spacing w:after="80"/>
        <w:ind w:left="340" w:hanging="340"/>
      </w:pPr>
      <w:r>
        <w:rPr>
          <w:rFonts w:ascii="Times New Roman" w:hAnsi="Times New Roman"/>
          <w:sz w:val="20"/>
        </w:rPr>
        <w:t xml:space="preserve">–</w:t>
      </w:r>
      <w:r>
        <w:rPr>
          <w:rFonts w:ascii="Times New Roman" w:hAnsi="Times New Roman"/>
          <w:sz w:val="20"/>
        </w:rPr>
        <w:tab/>
      </w:r>
      <w:r>
        <w:rPr>
          <w:rFonts w:ascii="Times New Roman" w:hAnsi="Times New Roman"/>
          <w:sz w:val="20"/>
        </w:rPr>
        <w:t xml:space="preserve">Ablation variants: LightGBM on the engineered features only, and LightGBM on the DistilBERT embedding only (Section 5.6).</w:t>
      </w:r>
    </w:p>
    <w:p>
      <w:pPr>
        <w:pStyle w:val="3"/>
        <w:ind w:firstLine="0"/>
        <w:jc w:val="left"/>
      </w:pPr>
      <w:r>
        <w:rPr>
          <w:rFonts w:ascii="Times New Roman" w:hAnsi="Times New Roman"/>
          <w:b/>
          <w:sz w:val="20"/>
        </w:rPr>
        <w:t xml:space="preserve">3.9  Explainability Method</w:t>
      </w:r>
    </w:p>
    <w:p>
      <w:pPr>
        <w:ind w:firstLine="0"/>
      </w:pPr>
      <w:r>
        <w:rPr>
          <w:rFonts w:ascii="Times New Roman" w:hAnsi="Times New Roman"/>
          <w:sz w:val="20"/>
        </w:rPr>
        <w:t xml:space="preserve">Explainability operates at two levels. At the model level, TreeSHAP assigns an importance value to each of the 791 features, which are grouped into URL, HTML, hyperlink, form and semantic categories for reporting, since individual embedding dimensions mean little to a human reader. At the system level, the explanation brings together the prediction, its confidence, verification against known brand–domain relationships, evidence found on the page (such as password fields or forms), knowledge retrieved through RAG, and a natural-language summary generated by an LLM from these elements. The LLM only explains the decision; it never changes the outcome.</w:t>
      </w:r>
    </w:p>
    <w:p>
      <w:pPr>
        <w:pStyle w:val="3"/>
        <w:ind w:firstLine="0"/>
        <w:jc w:val="left"/>
      </w:pPr>
      <w:r>
        <w:rPr>
          <w:rFonts w:ascii="Times New Roman" w:hAnsi="Times New Roman"/>
          <w:b/>
          <w:sz w:val="20"/>
        </w:rPr>
        <w:t xml:space="preserve">3.10  Mathematical Formulation</w:t>
      </w:r>
    </w:p>
    <w:p>
      <w:pPr>
        <w:ind w:firstLine="0"/>
      </w:pPr>
      <w:r>
        <w:rPr>
          <w:rFonts w:ascii="Times New Roman" w:hAnsi="Times New Roman"/>
          <w:sz w:val="20"/>
        </w:rPr>
        <w:t xml:space="preserve">This subsection formalises each stage of PhishXpert, from the engineered features to the final explanation. Throughout, u denotes the input URL, t the visible text of the retrieved page and y ∈ {0, 1} the true label, where 1 denotes phishing and 0 denotes benign.</w:t>
      </w:r>
    </w:p>
    <w:p>
      <w:pPr>
        <w:ind w:firstLine="340"/>
      </w:pPr>
      <w:r>
        <w:rPr>
          <w:rFonts w:ascii="Times New Roman" w:hAnsi="Times New Roman"/>
          <w:b/>
          <w:sz w:val="20"/>
        </w:rPr>
        <w:t xml:space="preserve">Step 1: URL entropy.</w:t>
      </w:r>
      <w:r>
        <w:rPr>
          <w:rFonts w:ascii="Times New Roman" w:hAnsi="Times New Roman"/>
          <w:sz w:val="20"/>
        </w:rPr>
        <w:t xml:space="preserve"> Among the 13 URL features, entropy is one of the most informative (Section 5.5). It measures how unpredictable the characters of the URL are:</w:t>
      </w:r>
    </w:p>
    <w:p>
      <w:pPr>
        <w:tabs>
          <w:tab w:val="center" w:pos="3458"/>
          <w:tab w:val="right" w:pos="6917"/>
        </w:tabs>
        <w:spacing w:before="60" w:after="120"/>
        <w:ind w:firstLine="0"/>
      </w:pPr>
      <w:r>
        <w:rPr>
          <w:rFonts w:ascii="Times New Roman" w:hAnsi="Times New Roman"/>
          <w:sz w:val="20"/>
        </w:rPr>
        <w:tab/>
      </w:r>
      <m:oMath>
        <m:r>
          <m:rPr/>
          <w:rPr>
            <w:rFonts w:ascii="Cambria Math" w:hAnsi="Cambria Math"/>
          </w:rPr>
          <m:t xml:space="preserve">H</m:t>
        </m:r>
        <m:d>
          <m:dPr>
            <m:begChr m:val="("/>
            <m:endChr m:val=")"/>
          </m:dPr>
          <m:e>
            <m:r>
              <m:rPr/>
              <w:rPr>
                <w:rFonts w:ascii="Cambria Math" w:hAnsi="Cambria Math"/>
              </w:rPr>
              <m:t xml:space="preserve">u</m:t>
            </m:r>
          </m:e>
        </m:d>
        <m:r>
          <m:rPr/>
          <w:rPr>
            <w:rFonts w:ascii="Cambria Math" w:hAnsi="Cambria Math"/>
          </w:rPr>
          <m:t xml:space="preserve">=</m:t>
        </m:r>
        <m:r>
          <m:rPr/>
          <w:rPr>
            <w:rFonts w:ascii="Cambria Math" w:hAnsi="Cambria Math"/>
          </w:rPr>
          <m:t xml:space="preserve">−</m:t>
        </m:r>
        <m:nary>
          <m:naryPr>
            <m:chr m:val="∑"/>
            <m:limLoc m:val="undOvr"/>
            <m:supHide m:val="1"/>
          </m:naryPr>
          <m:sub>
            <m:r>
              <m:rPr/>
              <w:rPr>
                <w:rFonts w:ascii="Cambria Math" w:hAnsi="Cambria Math"/>
              </w:rPr>
              <m:t xml:space="preserve">c</m:t>
            </m:r>
            <m:r>
              <m:rPr/>
              <w:rPr>
                <w:rFonts w:ascii="Cambria Math" w:hAnsi="Cambria Math"/>
              </w:rPr>
              <m:t xml:space="preserve">∈</m:t>
            </m:r>
            <m:r>
              <m:rPr/>
              <w:rPr>
                <w:rFonts w:ascii="Cambria Math" w:hAnsi="Cambria Math"/>
              </w:rPr>
              <m:t xml:space="preserve">C</m:t>
            </m:r>
            <m:d>
              <m:dPr>
                <m:begChr m:val="("/>
                <m:endChr m:val=")"/>
              </m:dPr>
              <m:e>
                <m:r>
                  <m:rPr/>
                  <w:rPr>
                    <w:rFonts w:ascii="Cambria Math" w:hAnsi="Cambria Math"/>
                  </w:rPr>
                  <m:t xml:space="preserve">u</m:t>
                </m:r>
              </m:e>
            </m:d>
          </m:sub>
          <m:sup/>
          <m:e>
            <m:r>
              <m:rPr/>
              <w:rPr>
                <w:rFonts w:ascii="Cambria Math" w:hAnsi="Cambria Math"/>
              </w:rPr>
              <m:t xml:space="preserve">p</m:t>
            </m:r>
            <m:d>
              <m:dPr>
                <m:begChr m:val="("/>
                <m:endChr m:val=")"/>
              </m:dPr>
              <m:e>
                <m:r>
                  <m:rPr/>
                  <w:rPr>
                    <w:rFonts w:ascii="Cambria Math" w:hAnsi="Cambria Math"/>
                  </w:rPr>
                  <m:t xml:space="preserve">c</m:t>
                </m:r>
              </m:e>
            </m:d>
            <m:sSub>
              <m:sSubPr/>
              <m:e>
                <m:r>
                  <m:rPr>
                    <m:sty m:val="p"/>
                  </m:rPr>
                  <w:rPr>
                    <w:rFonts w:ascii="Cambria Math" w:hAnsi="Cambria Math"/>
                  </w:rPr>
                  <m:t xml:space="preserve">log</m:t>
                </m:r>
              </m:e>
              <m:sub>
                <m:r>
                  <m:rPr>
                    <m:sty m:val="p"/>
                  </m:rPr>
                  <w:rPr>
                    <w:rFonts w:ascii="Cambria Math" w:hAnsi="Cambria Math"/>
                  </w:rPr>
                  <m:t xml:space="preserve">2</m:t>
                </m:r>
              </m:sub>
            </m:sSub>
            <m:r>
              <m:rPr/>
              <w:rPr>
                <w:rFonts w:ascii="Cambria Math" w:hAnsi="Cambria Math"/>
              </w:rPr>
              <m:t xml:space="preserve">p</m:t>
            </m:r>
            <m:d>
              <m:dPr>
                <m:begChr m:val="("/>
                <m:endChr m:val=")"/>
              </m:dPr>
              <m:e>
                <m:r>
                  <m:rPr/>
                  <w:rPr>
                    <w:rFonts w:ascii="Cambria Math" w:hAnsi="Cambria Math"/>
                  </w:rPr>
                  <m:t xml:space="preserve">c</m:t>
                </m:r>
              </m:e>
            </m:d>
          </m:e>
        </m:nary>
      </m:oMath>
      <w:r>
        <w:rPr>
          <w:rFonts w:ascii="Times New Roman" w:hAnsi="Times New Roman"/>
          <w:sz w:val="20"/>
        </w:rPr>
        <w:tab/>
        <w:t>(1)</w:t>
      </w:r>
    </w:p>
    <w:p>
      <w:pPr>
        <w:ind w:firstLine="340"/>
      </w:pPr>
      <w:r>
        <w:rPr>
          <w:rFonts w:ascii="Times New Roman" w:hAnsi="Times New Roman"/>
          <w:sz w:val="20"/>
        </w:rPr>
        <w:t xml:space="preserve">In Eq. (1), C(u) is the set of distinct characters that occur in the URL u, and p(c) = n_c / |u| is the relative frequency of character c, where n_c is the number of times c appears and |u| is the URL length. The logarithm to base 2 expresses the result in bits. A URL made of a few repeated, readable words has low entropy, whereas a long string of random-looking letters, digits and symbols has high entropy. Automatically generated or obfuscated phishing URLs often fall into the second group, which is why H(u) is a useful structural cue.</w:t>
      </w:r>
    </w:p>
    <w:p>
      <w:pPr>
        <w:ind w:firstLine="340"/>
      </w:pPr>
      <w:r>
        <w:rPr>
          <w:rFonts w:ascii="Times New Roman" w:hAnsi="Times New Roman"/>
          <w:b/>
          <w:sz w:val="20"/>
        </w:rPr>
        <w:t xml:space="preserve">Step 2: Link and form ratios.</w:t>
      </w:r>
      <w:r>
        <w:rPr>
          <w:rFonts w:ascii="Times New Roman" w:hAnsi="Times New Roman"/>
          <w:sz w:val="20"/>
        </w:rPr>
        <w:t xml:space="preserve"> Two of the hyperlink and form features are ratios that describe where a page sends the user:</w:t>
      </w:r>
    </w:p>
    <w:p>
      <w:pPr>
        <w:tabs>
          <w:tab w:val="center" w:pos="3458"/>
          <w:tab w:val="right" w:pos="6917"/>
        </w:tabs>
        <w:spacing w:before="60" w:after="120"/>
        <w:ind w:firstLine="0"/>
      </w:pPr>
      <w:r>
        <w:rPr>
          <w:rFonts w:ascii="Times New Roman" w:hAnsi="Times New Roman"/>
          <w:sz w:val="20"/>
        </w:rPr>
        <w:tab/>
      </w:r>
      <m:oMath>
        <m:sSub>
          <m:sSubPr/>
          <m:e>
            <m:r>
              <m:rPr/>
              <w:rPr>
                <w:rFonts w:ascii="Cambria Math" w:hAnsi="Cambria Math"/>
              </w:rPr>
              <m:t xml:space="preserve">R</m:t>
            </m:r>
          </m:e>
          <m:sub>
            <m:r>
              <m:rPr>
                <m:sty m:val="p"/>
              </m:rPr>
              <w:rPr>
                <w:rFonts w:ascii="Cambria Math" w:hAnsi="Cambria Math"/>
              </w:rPr>
              <m:t xml:space="preserve">link</m:t>
            </m:r>
          </m:sub>
        </m:sSub>
        <m:r>
          <m:rPr/>
          <w:rPr>
            <w:rFonts w:ascii="Cambria Math" w:hAnsi="Cambria Math"/>
          </w:rPr>
          <m:t xml:space="preserve">=</m:t>
        </m:r>
        <m:f>
          <m:fPr/>
          <m:num>
            <m:sSub>
              <m:sSubPr/>
              <m:e>
                <m:r>
                  <m:rPr/>
                  <w:rPr>
                    <w:rFonts w:ascii="Cambria Math" w:hAnsi="Cambria Math"/>
                  </w:rPr>
                  <m:t xml:space="preserve">N</m:t>
                </m:r>
              </m:e>
              <m:sub>
                <m:r>
                  <m:rPr>
                    <m:sty m:val="p"/>
                  </m:rPr>
                  <w:rPr>
                    <w:rFonts w:ascii="Cambria Math" w:hAnsi="Cambria Math"/>
                  </w:rPr>
                  <m:t xml:space="preserve">ext</m:t>
                </m:r>
              </m:sub>
            </m:sSub>
          </m:num>
          <m:den>
            <m:sSub>
              <m:sSubPr/>
              <m:e>
                <m:r>
                  <m:rPr/>
                  <w:rPr>
                    <w:rFonts w:ascii="Cambria Math" w:hAnsi="Cambria Math"/>
                  </w:rPr>
                  <m:t xml:space="preserve">N</m:t>
                </m:r>
              </m:e>
              <m:sub>
                <m:r>
                  <m:rPr>
                    <m:sty m:val="p"/>
                  </m:rPr>
                  <w:rPr>
                    <w:rFonts w:ascii="Cambria Math" w:hAnsi="Cambria Math"/>
                  </w:rPr>
                  <m:t xml:space="preserve">links</m:t>
                </m:r>
              </m:sub>
            </m:sSub>
          </m:den>
        </m:f>
        <m:r>
          <m:rPr>
            <m:sty m:val="p"/>
          </m:rPr>
          <w:rPr>
            <w:rFonts w:ascii="Cambria Math" w:hAnsi="Cambria Math"/>
          </w:rPr>
          <m:t xml:space="preserve">,     </m:t>
        </m:r>
        <m:sSub>
          <m:sSubPr/>
          <m:e>
            <m:r>
              <m:rPr/>
              <w:rPr>
                <w:rFonts w:ascii="Cambria Math" w:hAnsi="Cambria Math"/>
              </w:rPr>
              <m:t xml:space="preserve">R</m:t>
            </m:r>
          </m:e>
          <m:sub>
            <m:r>
              <m:rPr>
                <m:sty m:val="p"/>
              </m:rPr>
              <w:rPr>
                <w:rFonts w:ascii="Cambria Math" w:hAnsi="Cambria Math"/>
              </w:rPr>
              <m:t xml:space="preserve">form</m:t>
            </m:r>
          </m:sub>
        </m:sSub>
        <m:r>
          <m:rPr/>
          <w:rPr>
            <w:rFonts w:ascii="Cambria Math" w:hAnsi="Cambria Math"/>
          </w:rPr>
          <m:t xml:space="preserve">=</m:t>
        </m:r>
        <m:f>
          <m:fPr/>
          <m:num>
            <m:sSub>
              <m:sSubPr/>
              <m:e>
                <m:r>
                  <m:rPr/>
                  <w:rPr>
                    <w:rFonts w:ascii="Cambria Math" w:hAnsi="Cambria Math"/>
                  </w:rPr>
                  <m:t xml:space="preserve">F</m:t>
                </m:r>
              </m:e>
              <m:sub>
                <m:r>
                  <m:rPr>
                    <m:sty m:val="p"/>
                  </m:rPr>
                  <w:rPr>
                    <w:rFonts w:ascii="Cambria Math" w:hAnsi="Cambria Math"/>
                  </w:rPr>
                  <m:t xml:space="preserve">ext</m:t>
                </m:r>
              </m:sub>
            </m:sSub>
          </m:num>
          <m:den>
            <m:sSub>
              <m:sSubPr/>
              <m:e>
                <m:r>
                  <m:rPr/>
                  <w:rPr>
                    <w:rFonts w:ascii="Cambria Math" w:hAnsi="Cambria Math"/>
                  </w:rPr>
                  <m:t xml:space="preserve">F</m:t>
                </m:r>
              </m:e>
              <m:sub>
                <m:r>
                  <m:rPr>
                    <m:sty m:val="p"/>
                  </m:rPr>
                  <w:rPr>
                    <w:rFonts w:ascii="Cambria Math" w:hAnsi="Cambria Math"/>
                  </w:rPr>
                  <m:t xml:space="preserve">total</m:t>
                </m:r>
              </m:sub>
            </m:sSub>
          </m:den>
        </m:f>
      </m:oMath>
      <w:r>
        <w:rPr>
          <w:rFonts w:ascii="Times New Roman" w:hAnsi="Times New Roman"/>
          <w:sz w:val="20"/>
        </w:rPr>
        <w:tab/>
        <w:t>(2)</w:t>
      </w:r>
    </w:p>
    <w:p>
      <w:pPr>
        <w:ind w:firstLine="340"/>
      </w:pPr>
      <w:r>
        <w:rPr>
          <w:rFonts w:ascii="Times New Roman" w:hAnsi="Times New Roman"/>
          <w:sz w:val="20"/>
        </w:rPr>
        <w:t xml:space="preserve">In Eq. (2), N_links is the total number of hyperlinks on the page and N_ext is the number of those links that point to a different domain, so R_link is the external-link ratio. Likewise, F_total is the number of HTML forms and F_ext is the number whose action URL points to an external domain, so R_form is the external-form ratio. Both ratios lie between 0 and 1. A legitimate site usually links mostly to its own pages and submits forms to its own server, whereas a phishing page that copies a brand often borrows that brand’s external links and sends the victim’s credentials to a different host. When a page has no links or no forms, the corresponding ratio is set to zero, in line with the treatment of missing content in Section 3.4.</w:t>
      </w:r>
    </w:p>
    <w:p>
      <w:pPr>
        <w:ind w:firstLine="340"/>
      </w:pPr>
      <w:r>
        <w:rPr>
          <w:rFonts w:ascii="Times New Roman" w:hAnsi="Times New Roman"/>
          <w:b/>
          <w:sz w:val="20"/>
        </w:rPr>
        <w:t xml:space="preserve">Step 3: Engineered feature vector.</w:t>
      </w:r>
      <w:r>
        <w:rPr>
          <w:rFonts w:ascii="Times New Roman" w:hAnsi="Times New Roman"/>
          <w:sz w:val="20"/>
        </w:rPr>
        <w:t xml:space="preserve"> The four engineered groups are stacked into one vector:</w:t>
      </w:r>
    </w:p>
    <w:p>
      <w:pPr>
        <w:tabs>
          <w:tab w:val="center" w:pos="3458"/>
          <w:tab w:val="right" w:pos="6917"/>
        </w:tabs>
        <w:spacing w:before="60" w:after="120"/>
        <w:ind w:firstLine="0"/>
      </w:pPr>
      <w:r>
        <w:rPr>
          <w:rFonts w:ascii="Times New Roman" w:hAnsi="Times New Roman"/>
          <w:sz w:val="20"/>
        </w:rPr>
        <w:tab/>
      </w:r>
      <m:oMath>
        <m:r>
          <m:rPr/>
          <w:rPr>
            <w:rFonts w:ascii="Cambria Math" w:hAnsi="Cambria Math"/>
          </w:rPr>
          <m:t xml:space="preserve">x</m:t>
        </m:r>
        <m:r>
          <m:rPr/>
          <w:rPr>
            <w:rFonts w:ascii="Cambria Math" w:hAnsi="Cambria Math"/>
          </w:rPr>
          <m:t xml:space="preserve">=</m:t>
        </m:r>
        <m:d>
          <m:dPr>
            <m:begChr m:val="["/>
            <m:endChr m:val="]"/>
          </m:dPr>
          <m:e>
            <m:sSub>
              <m:sSubPr/>
              <m:e>
                <m:r>
                  <m:rPr/>
                  <w:rPr>
                    <w:rFonts w:ascii="Cambria Math" w:hAnsi="Cambria Math"/>
                  </w:rPr>
                  <m:t xml:space="preserve">x</m:t>
                </m:r>
              </m:e>
              <m:sub>
                <m:r>
                  <m:rPr>
                    <m:sty m:val="p"/>
                  </m:rPr>
                  <w:rPr>
                    <w:rFonts w:ascii="Cambria Math" w:hAnsi="Cambria Math"/>
                  </w:rPr>
                  <m:t xml:space="preserve">URL</m:t>
                </m:r>
              </m:sub>
            </m:sSub>
            <m:r>
              <m:rPr>
                <m:sty m:val="p"/>
              </m:rPr>
              <w:rPr>
                <w:rFonts w:ascii="Cambria Math" w:hAnsi="Cambria Math"/>
              </w:rPr>
              <m:t xml:space="preserve"> ; </m:t>
            </m:r>
            <m:sSub>
              <m:sSubPr/>
              <m:e>
                <m:r>
                  <m:rPr/>
                  <w:rPr>
                    <w:rFonts w:ascii="Cambria Math" w:hAnsi="Cambria Math"/>
                  </w:rPr>
                  <m:t xml:space="preserve">x</m:t>
                </m:r>
              </m:e>
              <m:sub>
                <m:r>
                  <m:rPr>
                    <m:sty m:val="p"/>
                  </m:rPr>
                  <w:rPr>
                    <w:rFonts w:ascii="Cambria Math" w:hAnsi="Cambria Math"/>
                  </w:rPr>
                  <m:t xml:space="preserve">HTML</m:t>
                </m:r>
              </m:sub>
            </m:sSub>
            <m:r>
              <m:rPr>
                <m:sty m:val="p"/>
              </m:rPr>
              <w:rPr>
                <w:rFonts w:ascii="Cambria Math" w:hAnsi="Cambria Math"/>
              </w:rPr>
              <m:t xml:space="preserve"> ; </m:t>
            </m:r>
            <m:sSub>
              <m:sSubPr/>
              <m:e>
                <m:r>
                  <m:rPr/>
                  <w:rPr>
                    <w:rFonts w:ascii="Cambria Math" w:hAnsi="Cambria Math"/>
                  </w:rPr>
                  <m:t xml:space="preserve">x</m:t>
                </m:r>
              </m:e>
              <m:sub>
                <m:r>
                  <m:rPr>
                    <m:sty m:val="p"/>
                  </m:rPr>
                  <w:rPr>
                    <w:rFonts w:ascii="Cambria Math" w:hAnsi="Cambria Math"/>
                  </w:rPr>
                  <m:t xml:space="preserve">link</m:t>
                </m:r>
              </m:sub>
            </m:sSub>
            <m:r>
              <m:rPr>
                <m:sty m:val="p"/>
              </m:rPr>
              <w:rPr>
                <w:rFonts w:ascii="Cambria Math" w:hAnsi="Cambria Math"/>
              </w:rPr>
              <m:t xml:space="preserve"> ; </m:t>
            </m:r>
            <m:sSub>
              <m:sSubPr/>
              <m:e>
                <m:r>
                  <m:rPr/>
                  <w:rPr>
                    <w:rFonts w:ascii="Cambria Math" w:hAnsi="Cambria Math"/>
                  </w:rPr>
                  <m:t xml:space="preserve">x</m:t>
                </m:r>
              </m:e>
              <m:sub>
                <m:r>
                  <m:rPr>
                    <m:sty m:val="p"/>
                  </m:rPr>
                  <w:rPr>
                    <w:rFonts w:ascii="Cambria Math" w:hAnsi="Cambria Math"/>
                  </w:rPr>
                  <m:t xml:space="preserve">form</m:t>
                </m:r>
              </m:sub>
            </m:sSub>
          </m:e>
        </m:d>
        <m:r>
          <m:rPr/>
          <w:rPr>
            <w:rFonts w:ascii="Cambria Math" w:hAnsi="Cambria Math"/>
          </w:rPr>
          <m:t xml:space="preserve">∈</m:t>
        </m:r>
        <m:sSup>
          <m:sSupPr/>
          <m:e>
            <m:r>
              <m:rPr>
                <m:sty m:val="p"/>
              </m:rPr>
              <w:rPr>
                <w:rFonts w:ascii="Cambria Math" w:hAnsi="Cambria Math"/>
              </w:rPr>
              <m:t xml:space="preserve">ℝ</m:t>
            </m:r>
          </m:e>
          <m:sup>
            <m:r>
              <m:rPr>
                <m:sty m:val="p"/>
              </m:rPr>
              <w:rPr>
                <w:rFonts w:ascii="Cambria Math" w:hAnsi="Cambria Math"/>
              </w:rPr>
              <m:t xml:space="preserve">23</m:t>
            </m:r>
          </m:sup>
        </m:sSup>
      </m:oMath>
      <w:r>
        <w:rPr>
          <w:rFonts w:ascii="Times New Roman" w:hAnsi="Times New Roman"/>
          <w:sz w:val="20"/>
        </w:rPr>
        <w:tab/>
        <w:t>(3)</w:t>
      </w:r>
    </w:p>
    <w:p>
      <w:pPr>
        <w:ind w:firstLine="340"/>
      </w:pPr>
      <w:r>
        <w:rPr>
          <w:rFonts w:ascii="Times New Roman" w:hAnsi="Times New Roman"/>
          <w:sz w:val="20"/>
        </w:rPr>
        <w:t xml:space="preserve">In Eq. (3), x_URL ∈ ℝ¹³ holds the 13 URL features (including H(u)), x_HTML ∈ ℝ² the HTML length and visible-text length, x_link ∈ ℝ³ the link count, external-link count and R_link, and x_form ∈ ℝ⁵ the five form features (including R_form). The semicolon denotes vertical concatenation, so the dimensions add up to 13 + 2 + 3 + 5 = 23. This vector describes how the page is built and where it points, but not what it says.</w:t>
      </w:r>
    </w:p>
    <w:p>
      <w:pPr>
        <w:ind w:firstLine="340"/>
      </w:pPr>
      <w:r>
        <w:rPr>
          <w:rFonts w:ascii="Times New Roman" w:hAnsi="Times New Roman"/>
          <w:b/>
          <w:sz w:val="20"/>
        </w:rPr>
        <w:t xml:space="preserve">Step 4: Semantic embedding.</w:t>
      </w:r>
      <w:r>
        <w:rPr>
          <w:rFonts w:ascii="Times New Roman" w:hAnsi="Times New Roman"/>
          <w:sz w:val="20"/>
        </w:rPr>
        <w:t xml:space="preserve"> The visible text is encoded by the frozen DistilBERT model:</w:t>
      </w:r>
    </w:p>
    <w:p>
      <w:pPr>
        <w:tabs>
          <w:tab w:val="center" w:pos="3458"/>
          <w:tab w:val="right" w:pos="6917"/>
        </w:tabs>
        <w:spacing w:before="60" w:after="120"/>
        <w:ind w:firstLine="0"/>
      </w:pPr>
      <w:r>
        <w:rPr>
          <w:rFonts w:ascii="Times New Roman" w:hAnsi="Times New Roman"/>
          <w:sz w:val="20"/>
        </w:rPr>
        <w:tab/>
      </w:r>
      <m:oMath>
        <m:r>
          <m:rPr/>
          <w:rPr>
            <w:rFonts w:ascii="Cambria Math" w:hAnsi="Cambria Math"/>
          </w:rPr>
          <m:t xml:space="preserve">e</m:t>
        </m:r>
        <m:r>
          <m:rPr/>
          <w:rPr>
            <w:rFonts w:ascii="Cambria Math" w:hAnsi="Cambria Math"/>
          </w:rPr>
          <m:t xml:space="preserve">=</m:t>
        </m:r>
        <m:sSub>
          <m:sSubPr/>
          <m:e>
            <m:r>
              <m:rPr/>
              <w:rPr>
                <w:rFonts w:ascii="Cambria Math" w:hAnsi="Cambria Math"/>
              </w:rPr>
              <m:t xml:space="preserve">h</m:t>
            </m:r>
          </m:e>
          <m:sub>
            <m:r>
              <m:rPr>
                <m:sty m:val="p"/>
              </m:rPr>
              <w:rPr>
                <w:rFonts w:ascii="Cambria Math" w:hAnsi="Cambria Math"/>
              </w:rPr>
              <m:t xml:space="preserve">1</m:t>
            </m:r>
          </m:sub>
        </m:sSub>
        <m:r>
          <m:rPr/>
          <w:rPr>
            <w:rFonts w:ascii="Cambria Math" w:hAnsi="Cambria Math"/>
          </w:rPr>
          <m:t xml:space="preserve">=</m:t>
        </m:r>
        <m:sSub>
          <m:sSubPr/>
          <m:e>
            <m:d>
              <m:dPr>
                <m:begChr m:val="("/>
                <m:endChr m:val=")"/>
              </m:dPr>
              <m:e>
                <m:r>
                  <m:rPr>
                    <m:sty m:val="p"/>
                  </m:rPr>
                  <w:rPr>
                    <w:rFonts w:ascii="Cambria Math" w:hAnsi="Cambria Math"/>
                  </w:rPr>
                  <m:t xml:space="preserve">DistilBERT</m:t>
                </m:r>
                <m:d>
                  <m:dPr>
                    <m:begChr m:val="("/>
                    <m:endChr m:val=")"/>
                  </m:dPr>
                  <m:e>
                    <m:r>
                      <m:rPr/>
                      <w:rPr>
                        <w:rFonts w:ascii="Cambria Math" w:hAnsi="Cambria Math"/>
                      </w:rPr>
                      <m:t xml:space="preserve">τ</m:t>
                    </m:r>
                    <m:d>
                      <m:dPr>
                        <m:begChr m:val="("/>
                        <m:endChr m:val=")"/>
                      </m:dPr>
                      <m:e>
                        <m:sSub>
                          <m:sSubPr/>
                          <m:e>
                            <m:r>
                              <m:rPr/>
                              <w:rPr>
                                <w:rFonts w:ascii="Cambria Math" w:hAnsi="Cambria Math"/>
                              </w:rPr>
                              <m:t xml:space="preserve">t</m:t>
                            </m:r>
                          </m:e>
                          <m:sub>
                            <m:r>
                              <m:rPr>
                                <m:sty m:val="p"/>
                              </m:rPr>
                              <w:rPr>
                                <w:rFonts w:ascii="Cambria Math" w:hAnsi="Cambria Math"/>
                              </w:rPr>
                              <m:t xml:space="preserve">1:512</m:t>
                            </m:r>
                          </m:sub>
                        </m:sSub>
                      </m:e>
                    </m:d>
                  </m:e>
                </m:d>
              </m:e>
            </m:d>
          </m:e>
          <m:sub>
            <m:r>
              <m:rPr>
                <m:sty m:val="p"/>
              </m:rPr>
              <w:rPr>
                <w:rFonts w:ascii="Cambria Math" w:hAnsi="Cambria Math"/>
              </w:rPr>
              <m:t xml:space="preserve">1</m:t>
            </m:r>
          </m:sub>
        </m:sSub>
        <m:r>
          <m:rPr/>
          <w:rPr>
            <w:rFonts w:ascii="Cambria Math" w:hAnsi="Cambria Math"/>
          </w:rPr>
          <m:t xml:space="preserve">∈</m:t>
        </m:r>
        <m:sSup>
          <m:sSupPr/>
          <m:e>
            <m:r>
              <m:rPr>
                <m:sty m:val="p"/>
              </m:rPr>
              <w:rPr>
                <w:rFonts w:ascii="Cambria Math" w:hAnsi="Cambria Math"/>
              </w:rPr>
              <m:t xml:space="preserve">ℝ</m:t>
            </m:r>
          </m:e>
          <m:sup>
            <m:r>
              <m:rPr>
                <m:sty m:val="p"/>
              </m:rPr>
              <w:rPr>
                <w:rFonts w:ascii="Cambria Math" w:hAnsi="Cambria Math"/>
              </w:rPr>
              <m:t xml:space="preserve">768</m:t>
            </m:r>
          </m:sup>
        </m:sSup>
      </m:oMath>
      <w:r>
        <w:rPr>
          <w:rFonts w:ascii="Times New Roman" w:hAnsi="Times New Roman"/>
          <w:sz w:val="20"/>
        </w:rPr>
        <w:tab/>
        <w:t>(4)</w:t>
      </w:r>
    </w:p>
    <w:p>
      <w:pPr>
        <w:ind w:firstLine="340"/>
      </w:pPr>
      <w:r>
        <w:rPr>
          <w:rFonts w:ascii="Times New Roman" w:hAnsi="Times New Roman"/>
          <w:sz w:val="20"/>
        </w:rPr>
        <w:t xml:space="preserve">In Eq. (4), t₁:₅₁₂ denotes the first 512 characters of the visible text t, and τ(·) is the DistilBERT tokenizer, which splits the text into sub-word tokens and applies truncation and padding. DistilBERT(·) returns one 768-dimensional contextual vector for every token position, and the subscript 1 selects the vector at the first position, written h₁. Because every layer of the transformer lets the first token attend to all other tokens, h₁ acts as a summary of the whole passage. The encoder weights are frozen, so e is a fixed function of the text and no gradient is propagated through DistilBERT during training.</w:t>
      </w:r>
    </w:p>
    <w:p>
      <w:pPr>
        <w:ind w:firstLine="340"/>
      </w:pPr>
      <w:r>
        <w:rPr>
          <w:rFonts w:ascii="Times New Roman" w:hAnsi="Times New Roman"/>
          <w:b/>
          <w:sz w:val="20"/>
        </w:rPr>
        <w:t xml:space="preserve">Step 5: Hybrid Evidence Fusion.</w:t>
      </w:r>
      <w:r>
        <w:rPr>
          <w:rFonts w:ascii="Times New Roman" w:hAnsi="Times New Roman"/>
          <w:sz w:val="20"/>
        </w:rPr>
        <w:t xml:space="preserve"> The structural and semantic evidence are joined into a single representation:</w:t>
      </w:r>
    </w:p>
    <w:p>
      <w:pPr>
        <w:tabs>
          <w:tab w:val="center" w:pos="3458"/>
          <w:tab w:val="right" w:pos="6917"/>
        </w:tabs>
        <w:spacing w:before="60" w:after="120"/>
        <w:ind w:firstLine="0"/>
      </w:pPr>
      <w:r>
        <w:rPr>
          <w:rFonts w:ascii="Times New Roman" w:hAnsi="Times New Roman"/>
          <w:sz w:val="20"/>
        </w:rPr>
        <w:tab/>
      </w:r>
      <m:oMath>
        <m:r>
          <m:rPr/>
          <w:rPr>
            <w:rFonts w:ascii="Cambria Math" w:hAnsi="Cambria Math"/>
          </w:rPr>
          <m:t xml:space="preserve">z</m:t>
        </m:r>
        <m:r>
          <m:rPr/>
          <w:rPr>
            <w:rFonts w:ascii="Cambria Math" w:hAnsi="Cambria Math"/>
          </w:rPr>
          <m:t xml:space="preserve">=</m:t>
        </m:r>
        <m:d>
          <m:dPr>
            <m:begChr m:val="["/>
            <m:endChr m:val="]"/>
          </m:dPr>
          <m:e>
            <m:r>
              <m:rPr/>
              <w:rPr>
                <w:rFonts w:ascii="Cambria Math" w:hAnsi="Cambria Math"/>
              </w:rPr>
              <m:t xml:space="preserve">x</m:t>
            </m:r>
            <m:r>
              <m:rPr>
                <m:sty m:val="p"/>
              </m:rPr>
              <w:rPr>
                <w:rFonts w:ascii="Cambria Math" w:hAnsi="Cambria Math"/>
              </w:rPr>
              <m:t xml:space="preserve"> ; </m:t>
            </m:r>
            <m:r>
              <m:rPr/>
              <w:rPr>
                <w:rFonts w:ascii="Cambria Math" w:hAnsi="Cambria Math"/>
              </w:rPr>
              <m:t xml:space="preserve">e</m:t>
            </m:r>
          </m:e>
        </m:d>
        <m:r>
          <m:rPr/>
          <w:rPr>
            <w:rFonts w:ascii="Cambria Math" w:hAnsi="Cambria Math"/>
          </w:rPr>
          <m:t xml:space="preserve">∈</m:t>
        </m:r>
        <m:sSup>
          <m:sSupPr/>
          <m:e>
            <m:r>
              <m:rPr>
                <m:sty m:val="p"/>
              </m:rPr>
              <w:rPr>
                <w:rFonts w:ascii="Cambria Math" w:hAnsi="Cambria Math"/>
              </w:rPr>
              <m:t xml:space="preserve">ℝ</m:t>
            </m:r>
          </m:e>
          <m:sup>
            <m:r>
              <m:rPr>
                <m:sty m:val="p"/>
              </m:rPr>
              <w:rPr>
                <w:rFonts w:ascii="Cambria Math" w:hAnsi="Cambria Math"/>
              </w:rPr>
              <m:t xml:space="preserve">23+768=791</m:t>
            </m:r>
          </m:sup>
        </m:sSup>
      </m:oMath>
      <w:r>
        <w:rPr>
          <w:rFonts w:ascii="Times New Roman" w:hAnsi="Times New Roman"/>
          <w:sz w:val="20"/>
        </w:rPr>
        <w:tab/>
        <w:t>(5)</w:t>
      </w:r>
    </w:p>
    <w:p>
      <w:pPr>
        <w:ind w:firstLine="340"/>
      </w:pPr>
      <w:r>
        <w:rPr>
          <w:rFonts w:ascii="Times New Roman" w:hAnsi="Times New Roman"/>
          <w:sz w:val="20"/>
        </w:rPr>
        <w:t xml:space="preserve">Eq. (5) is an early, feature-level fusion: the 23 engineered values and the 768 embedding values are simply placed side by side, giving 791 inputs. No weighting between the two streams is fixed in advance. Instead, the classifier learns during training which features are most useful in each region of the input space, and because every one of the 791 inputs remains a separate column, each can later be attributed by TreeSHAP.</w:t>
      </w:r>
    </w:p>
    <w:p>
      <w:pPr>
        <w:ind w:firstLine="340"/>
      </w:pPr>
      <w:r>
        <w:rPr>
          <w:rFonts w:ascii="Times New Roman" w:hAnsi="Times New Roman"/>
          <w:b/>
          <w:sz w:val="20"/>
        </w:rPr>
        <w:t xml:space="preserve">Step 6: Gradient-boosted ensemble.</w:t>
      </w:r>
      <w:r>
        <w:rPr>
          <w:rFonts w:ascii="Times New Roman" w:hAnsi="Times New Roman"/>
          <w:sz w:val="20"/>
        </w:rPr>
        <w:t xml:space="preserve"> LightGBM builds an additive model of regression trees:</w:t>
      </w:r>
    </w:p>
    <w:p>
      <w:pPr>
        <w:tabs>
          <w:tab w:val="center" w:pos="3458"/>
          <w:tab w:val="right" w:pos="6917"/>
        </w:tabs>
        <w:spacing w:before="60" w:after="120"/>
        <w:ind w:firstLine="0"/>
      </w:pPr>
      <w:r>
        <w:rPr>
          <w:rFonts w:ascii="Times New Roman" w:hAnsi="Times New Roman"/>
          <w:sz w:val="20"/>
        </w:rPr>
        <w:tab/>
      </w:r>
      <m:oMath>
        <m:r>
          <m:rPr/>
          <w:rPr>
            <w:rFonts w:ascii="Cambria Math" w:hAnsi="Cambria Math"/>
          </w:rPr>
          <m:t xml:space="preserve">F</m:t>
        </m:r>
        <m:d>
          <m:dPr>
            <m:begChr m:val="("/>
            <m:endChr m:val=")"/>
          </m:dPr>
          <m:e>
            <m:r>
              <m:rPr/>
              <w:rPr>
                <w:rFonts w:ascii="Cambria Math" w:hAnsi="Cambria Math"/>
              </w:rPr>
              <m:t xml:space="preserve">z</m:t>
            </m:r>
          </m:e>
        </m:d>
        <m:r>
          <m:rPr/>
          <w:rPr>
            <w:rFonts w:ascii="Cambria Math" w:hAnsi="Cambria Math"/>
          </w:rPr>
          <m:t xml:space="preserve">=</m:t>
        </m:r>
        <m:nary>
          <m:naryPr>
            <m:chr m:val="∑"/>
            <m:limLoc m:val="undOvr"/>
          </m:naryPr>
          <m:sub>
            <m:r>
              <m:rPr/>
              <w:rPr>
                <w:rFonts w:ascii="Cambria Math" w:hAnsi="Cambria Math"/>
              </w:rPr>
              <m:t xml:space="preserve">m</m:t>
            </m:r>
            <m:r>
              <m:rPr>
                <m:sty m:val="p"/>
              </m:rPr>
              <w:rPr>
                <w:rFonts w:ascii="Cambria Math" w:hAnsi="Cambria Math"/>
              </w:rPr>
              <m:t xml:space="preserve">=1</m:t>
            </m:r>
          </m:sub>
          <m:sup>
            <m:r>
              <m:rPr/>
              <w:rPr>
                <w:rFonts w:ascii="Cambria Math" w:hAnsi="Cambria Math"/>
              </w:rPr>
              <m:t xml:space="preserve">M</m:t>
            </m:r>
          </m:sup>
          <m:e>
            <m:r>
              <m:rPr/>
              <w:rPr>
                <w:rFonts w:ascii="Cambria Math" w:hAnsi="Cambria Math"/>
              </w:rPr>
              <m:t xml:space="preserve">η</m:t>
            </m:r>
            <m:sSub>
              <m:sSubPr/>
              <m:e>
                <m:r>
                  <m:rPr/>
                  <w:rPr>
                    <w:rFonts w:ascii="Cambria Math" w:hAnsi="Cambria Math"/>
                  </w:rPr>
                  <m:t xml:space="preserve">f</m:t>
                </m:r>
              </m:e>
              <m:sub>
                <m:r>
                  <m:rPr/>
                  <w:rPr>
                    <w:rFonts w:ascii="Cambria Math" w:hAnsi="Cambria Math"/>
                  </w:rPr>
                  <m:t xml:space="preserve">m</m:t>
                </m:r>
              </m:sub>
            </m:sSub>
            <m:d>
              <m:dPr>
                <m:begChr m:val="("/>
                <m:endChr m:val=")"/>
              </m:dPr>
              <m:e>
                <m:r>
                  <m:rPr/>
                  <w:rPr>
                    <w:rFonts w:ascii="Cambria Math" w:hAnsi="Cambria Math"/>
                  </w:rPr>
                  <m:t xml:space="preserve">z</m:t>
                </m:r>
              </m:e>
            </m:d>
          </m:e>
        </m:nary>
      </m:oMath>
      <w:r>
        <w:rPr>
          <w:rFonts w:ascii="Times New Roman" w:hAnsi="Times New Roman"/>
          <w:sz w:val="20"/>
        </w:rPr>
        <w:tab/>
        <w:t>(6)</w:t>
      </w:r>
    </w:p>
    <w:p>
      <w:pPr>
        <w:ind w:firstLine="340"/>
      </w:pPr>
      <w:r>
        <w:rPr>
          <w:rFonts w:ascii="Times New Roman" w:hAnsi="Times New Roman"/>
          <w:sz w:val="20"/>
        </w:rPr>
        <w:t xml:space="preserve">In Eq. (6), M = 300 is the number of trees, fₘ(z) is the output of the m-th regression tree (each with at most 31 leaves) and η = 0.05 is the learning rate (Table 4). Trees are added one at a time, and each new tree is fitted to correct the errors left by the trees before it. The learning rate shrinks every tree’s contribution, so that no single tree dominates and the ensemble generalises better. The sum F(z) is a raw score on the log-odds scale: large positive values point towards phishing and large negative values towards benign.</w:t>
      </w:r>
    </w:p>
    <w:p>
      <w:pPr>
        <w:ind w:firstLine="340"/>
      </w:pPr>
      <w:r>
        <w:rPr>
          <w:rFonts w:ascii="Times New Roman" w:hAnsi="Times New Roman"/>
          <w:b/>
          <w:sz w:val="20"/>
        </w:rPr>
        <w:t xml:space="preserve">Step 7: Phishing probability.</w:t>
      </w:r>
      <w:r>
        <w:rPr>
          <w:rFonts w:ascii="Times New Roman" w:hAnsi="Times New Roman"/>
          <w:sz w:val="20"/>
        </w:rPr>
        <w:t xml:space="preserve"> The raw score is mapped to a probability with the logistic (sigmoid) function:</w:t>
      </w:r>
    </w:p>
    <w:p>
      <w:pPr>
        <w:tabs>
          <w:tab w:val="center" w:pos="3458"/>
          <w:tab w:val="right" w:pos="6917"/>
        </w:tabs>
        <w:spacing w:before="60" w:after="120"/>
        <w:ind w:firstLine="0"/>
      </w:pPr>
      <w:r>
        <w:rPr>
          <w:rFonts w:ascii="Times New Roman" w:hAnsi="Times New Roman"/>
          <w:sz w:val="20"/>
        </w:rPr>
        <w:tab/>
      </w:r>
      <m:oMath>
        <m:acc>
          <m:accPr>
            <m:chr m:val="^"/>
          </m:accPr>
          <m:e>
            <m:r>
              <m:rPr/>
              <w:rPr>
                <w:rFonts w:ascii="Cambria Math" w:hAnsi="Cambria Math"/>
              </w:rPr>
              <m:t xml:space="preserve">y</m:t>
            </m:r>
          </m:e>
        </m:acc>
        <m:r>
          <m:rPr/>
          <w:rPr>
            <w:rFonts w:ascii="Cambria Math" w:hAnsi="Cambria Math"/>
          </w:rPr>
          <m:t xml:space="preserve">=</m:t>
        </m:r>
        <m:r>
          <m:rPr/>
          <w:rPr>
            <w:rFonts w:ascii="Cambria Math" w:hAnsi="Cambria Math"/>
          </w:rPr>
          <m:t xml:space="preserve">σ</m:t>
        </m:r>
        <m:d>
          <m:dPr>
            <m:begChr m:val="("/>
            <m:endChr m:val=")"/>
          </m:dPr>
          <m:e>
            <m:r>
              <m:rPr/>
              <w:rPr>
                <w:rFonts w:ascii="Cambria Math" w:hAnsi="Cambria Math"/>
              </w:rPr>
              <m:t xml:space="preserve">F</m:t>
            </m:r>
            <m:d>
              <m:dPr>
                <m:begChr m:val="("/>
                <m:endChr m:val=")"/>
              </m:dPr>
              <m:e>
                <m:r>
                  <m:rPr/>
                  <w:rPr>
                    <w:rFonts w:ascii="Cambria Math" w:hAnsi="Cambria Math"/>
                  </w:rPr>
                  <m:t xml:space="preserve">z</m:t>
                </m:r>
              </m:e>
            </m:d>
          </m:e>
        </m:d>
        <m:r>
          <m:rPr/>
          <w:rPr>
            <w:rFonts w:ascii="Cambria Math" w:hAnsi="Cambria Math"/>
          </w:rPr>
          <m:t xml:space="preserve">=</m:t>
        </m:r>
        <m:f>
          <m:fPr/>
          <m:num>
            <m:r>
              <m:rPr>
                <m:sty m:val="p"/>
              </m:rPr>
              <w:rPr>
                <w:rFonts w:ascii="Cambria Math" w:hAnsi="Cambria Math"/>
              </w:rPr>
              <m:t xml:space="preserve">1</m:t>
            </m:r>
          </m:num>
          <m:den>
            <m:r>
              <m:rPr>
                <m:sty m:val="p"/>
              </m:rPr>
              <w:rPr>
                <w:rFonts w:ascii="Cambria Math" w:hAnsi="Cambria Math"/>
              </w:rPr>
              <m:t xml:space="preserve">1+</m:t>
            </m:r>
            <m:sSup>
              <m:sSupPr/>
              <m:e>
                <m:r>
                  <m:rPr/>
                  <w:rPr>
                    <w:rFonts w:ascii="Cambria Math" w:hAnsi="Cambria Math"/>
                  </w:rPr>
                  <m:t xml:space="preserve">e</m:t>
                </m:r>
              </m:e>
              <m:sup>
                <m:r>
                  <m:rPr/>
                  <w:rPr>
                    <w:rFonts w:ascii="Cambria Math" w:hAnsi="Cambria Math"/>
                  </w:rPr>
                  <m:t xml:space="preserve">−</m:t>
                </m:r>
                <m:r>
                  <m:rPr/>
                  <w:rPr>
                    <w:rFonts w:ascii="Cambria Math" w:hAnsi="Cambria Math"/>
                  </w:rPr>
                  <m:t xml:space="preserve">F</m:t>
                </m:r>
                <m:d>
                  <m:dPr>
                    <m:begChr m:val="("/>
                    <m:endChr m:val=")"/>
                  </m:dPr>
                  <m:e>
                    <m:r>
                      <m:rPr/>
                      <w:rPr>
                        <w:rFonts w:ascii="Cambria Math" w:hAnsi="Cambria Math"/>
                      </w:rPr>
                      <m:t xml:space="preserve">z</m:t>
                    </m:r>
                  </m:e>
                </m:d>
              </m:sup>
            </m:sSup>
          </m:den>
        </m:f>
      </m:oMath>
      <w:r>
        <w:rPr>
          <w:rFonts w:ascii="Times New Roman" w:hAnsi="Times New Roman"/>
          <w:sz w:val="20"/>
        </w:rPr>
        <w:tab/>
        <w:t>(7)</w:t>
      </w:r>
    </w:p>
    <w:p>
      <w:pPr>
        <w:ind w:firstLine="340"/>
      </w:pPr>
      <w:r>
        <w:rPr>
          <w:rFonts w:ascii="Times New Roman" w:hAnsi="Times New Roman"/>
          <w:sz w:val="20"/>
        </w:rPr>
        <w:t xml:space="preserve">In Eq. (7), ŷ ∈ (0, 1) is the predicted probability that the page is phishing, σ(·) is the sigmoid function and e is Euler’s number (not to be confused with the embedding vector). When F(z) = 0 the probability is exactly 0.5, and it approaches 1 or 0 as the score grows large and positive or large and negative. This probability is the “confidence” shown to the user in the web application.</w:t>
      </w:r>
    </w:p>
    <w:p>
      <w:pPr>
        <w:ind w:firstLine="340"/>
      </w:pPr>
      <w:r>
        <w:rPr>
          <w:rFonts w:ascii="Times New Roman" w:hAnsi="Times New Roman"/>
          <w:b/>
          <w:sz w:val="20"/>
        </w:rPr>
        <w:t xml:space="preserve">Step 8: Training objective.</w:t>
      </w:r>
      <w:r>
        <w:rPr>
          <w:rFonts w:ascii="Times New Roman" w:hAnsi="Times New Roman"/>
          <w:sz w:val="20"/>
        </w:rPr>
        <w:t xml:space="preserve"> The trees are fitted by minimising the binary logistic loss over the N training pages:</w:t>
      </w:r>
    </w:p>
    <w:p>
      <w:pPr>
        <w:tabs>
          <w:tab w:val="center" w:pos="3458"/>
          <w:tab w:val="right" w:pos="6917"/>
        </w:tabs>
        <w:spacing w:before="60" w:after="120"/>
        <w:ind w:firstLine="0"/>
      </w:pPr>
      <w:r>
        <w:rPr>
          <w:rFonts w:ascii="Times New Roman" w:hAnsi="Times New Roman"/>
          <w:sz w:val="20"/>
        </w:rPr>
        <w:tab/>
      </w:r>
      <m:oMath>
        <m:r>
          <m:rPr/>
          <w:rPr>
            <w:rFonts w:ascii="Cambria Math" w:hAnsi="Cambria Math"/>
          </w:rPr>
          <m:t xml:space="preserve">L</m:t>
        </m:r>
        <m:r>
          <m:rPr/>
          <w:rPr>
            <w:rFonts w:ascii="Cambria Math" w:hAnsi="Cambria Math"/>
          </w:rPr>
          <m:t xml:space="preserve">=</m:t>
        </m:r>
        <m:r>
          <m:rPr/>
          <w:rPr>
            <w:rFonts w:ascii="Cambria Math" w:hAnsi="Cambria Math"/>
          </w:rPr>
          <m:t xml:space="preserve">−</m:t>
        </m:r>
        <m:f>
          <m:fPr/>
          <m:num>
            <m:r>
              <m:rPr>
                <m:sty m:val="p"/>
              </m:rPr>
              <w:rPr>
                <w:rFonts w:ascii="Cambria Math" w:hAnsi="Cambria Math"/>
              </w:rPr>
              <m:t xml:space="preserve">1</m:t>
            </m:r>
          </m:num>
          <m:den>
            <m:r>
              <m:rPr/>
              <w:rPr>
                <w:rFonts w:ascii="Cambria Math" w:hAnsi="Cambria Math"/>
              </w:rPr>
              <m:t xml:space="preserve">N</m:t>
            </m:r>
          </m:den>
        </m:f>
        <m:nary>
          <m:naryPr>
            <m:chr m:val="∑"/>
            <m:limLoc m:val="undOvr"/>
          </m:naryPr>
          <m:sub>
            <m:r>
              <m:rPr/>
              <w:rPr>
                <w:rFonts w:ascii="Cambria Math" w:hAnsi="Cambria Math"/>
              </w:rPr>
              <m:t xml:space="preserve">i</m:t>
            </m:r>
            <m:r>
              <m:rPr>
                <m:sty m:val="p"/>
              </m:rPr>
              <w:rPr>
                <w:rFonts w:ascii="Cambria Math" w:hAnsi="Cambria Math"/>
              </w:rPr>
              <m:t xml:space="preserve">=1</m:t>
            </m:r>
          </m:sub>
          <m:sup>
            <m:r>
              <m:rPr/>
              <w:rPr>
                <w:rFonts w:ascii="Cambria Math" w:hAnsi="Cambria Math"/>
              </w:rPr>
              <m:t xml:space="preserve">N</m:t>
            </m:r>
          </m:sup>
          <m:e>
            <m:d>
              <m:dPr>
                <m:begChr m:val="["/>
                <m:endChr m:val="]"/>
              </m:dPr>
              <m:e>
                <m:sSub>
                  <m:sSubPr/>
                  <m:e>
                    <m:r>
                      <m:rPr/>
                      <w:rPr>
                        <w:rFonts w:ascii="Cambria Math" w:hAnsi="Cambria Math"/>
                      </w:rPr>
                      <m:t xml:space="preserve">y</m:t>
                    </m:r>
                  </m:e>
                  <m:sub>
                    <m:r>
                      <m:rPr/>
                      <w:rPr>
                        <w:rFonts w:ascii="Cambria Math" w:hAnsi="Cambria Math"/>
                      </w:rPr>
                      <m:t xml:space="preserve">i</m:t>
                    </m:r>
                  </m:sub>
                </m:sSub>
                <m:r>
                  <m:rPr>
                    <m:sty m:val="p"/>
                  </m:rPr>
                  <w:rPr>
                    <w:rFonts w:ascii="Cambria Math" w:hAnsi="Cambria Math"/>
                  </w:rPr>
                  <m:t xml:space="preserve">log</m:t>
                </m:r>
                <m:acc>
                  <m:accPr>
                    <m:chr m:val="^"/>
                  </m:accPr>
                  <m:e>
                    <m:sSub>
                      <m:sSubPr/>
                      <m:e>
                        <m:r>
                          <m:rPr/>
                          <w:rPr>
                            <w:rFonts w:ascii="Cambria Math" w:hAnsi="Cambria Math"/>
                          </w:rPr>
                          <m:t xml:space="preserve">y</m:t>
                        </m:r>
                      </m:e>
                      <m:sub>
                        <m:r>
                          <m:rPr/>
                          <w:rPr>
                            <w:rFonts w:ascii="Cambria Math" w:hAnsi="Cambria Math"/>
                          </w:rPr>
                          <m:t xml:space="preserve">i</m:t>
                        </m:r>
                      </m:sub>
                    </m:sSub>
                  </m:e>
                </m:acc>
                <m:r>
                  <m:rPr>
                    <m:sty m:val="p"/>
                  </m:rPr>
                  <w:rPr>
                    <w:rFonts w:ascii="Cambria Math" w:hAnsi="Cambria Math"/>
                  </w:rPr>
                  <m:t xml:space="preserve">+</m:t>
                </m:r>
                <m:d>
                  <m:dPr>
                    <m:begChr m:val="("/>
                    <m:endChr m:val=")"/>
                  </m:dPr>
                  <m:e>
                    <m:r>
                      <m:rPr>
                        <m:sty m:val="p"/>
                      </m:rPr>
                      <w:rPr>
                        <w:rFonts w:ascii="Cambria Math" w:hAnsi="Cambria Math"/>
                      </w:rPr>
                      <m:t xml:space="preserve">1−</m:t>
                    </m:r>
                    <m:sSub>
                      <m:sSubPr/>
                      <m:e>
                        <m:r>
                          <m:rPr/>
                          <w:rPr>
                            <w:rFonts w:ascii="Cambria Math" w:hAnsi="Cambria Math"/>
                          </w:rPr>
                          <m:t xml:space="preserve">y</m:t>
                        </m:r>
                      </m:e>
                      <m:sub>
                        <m:r>
                          <m:rPr/>
                          <w:rPr>
                            <w:rFonts w:ascii="Cambria Math" w:hAnsi="Cambria Math"/>
                          </w:rPr>
                          <m:t xml:space="preserve">i</m:t>
                        </m:r>
                      </m:sub>
                    </m:sSub>
                  </m:e>
                </m:d>
                <m:r>
                  <m:rPr>
                    <m:sty m:val="p"/>
                  </m:rPr>
                  <w:rPr>
                    <w:rFonts w:ascii="Cambria Math" w:hAnsi="Cambria Math"/>
                  </w:rPr>
                  <m:t xml:space="preserve">log</m:t>
                </m:r>
                <m:d>
                  <m:dPr>
                    <m:begChr m:val="("/>
                    <m:endChr m:val=")"/>
                  </m:dPr>
                  <m:e>
                    <m:r>
                      <m:rPr>
                        <m:sty m:val="p"/>
                      </m:rPr>
                      <w:rPr>
                        <w:rFonts w:ascii="Cambria Math" w:hAnsi="Cambria Math"/>
                      </w:rPr>
                      <m:t xml:space="preserve">1−</m:t>
                    </m:r>
                    <m:acc>
                      <m:accPr>
                        <m:chr m:val="^"/>
                      </m:accPr>
                      <m:e>
                        <m:sSub>
                          <m:sSubPr/>
                          <m:e>
                            <m:r>
                              <m:rPr/>
                              <w:rPr>
                                <w:rFonts w:ascii="Cambria Math" w:hAnsi="Cambria Math"/>
                              </w:rPr>
                              <m:t xml:space="preserve">y</m:t>
                            </m:r>
                          </m:e>
                          <m:sub>
                            <m:r>
                              <m:rPr/>
                              <w:rPr>
                                <w:rFonts w:ascii="Cambria Math" w:hAnsi="Cambria Math"/>
                              </w:rPr>
                              <m:t xml:space="preserve">i</m:t>
                            </m:r>
                          </m:sub>
                        </m:sSub>
                      </m:e>
                    </m:acc>
                  </m:e>
                </m:d>
              </m:e>
            </m:d>
          </m:e>
        </m:nary>
      </m:oMath>
      <w:r>
        <w:rPr>
          <w:rFonts w:ascii="Times New Roman" w:hAnsi="Times New Roman"/>
          <w:sz w:val="20"/>
        </w:rPr>
        <w:tab/>
        <w:t>(8)</w:t>
      </w:r>
    </w:p>
    <w:p>
      <w:pPr>
        <w:ind w:firstLine="340"/>
      </w:pPr>
      <w:r>
        <w:rPr>
          <w:rFonts w:ascii="Times New Roman" w:hAnsi="Times New Roman"/>
          <w:sz w:val="20"/>
        </w:rPr>
        <w:t xml:space="preserve">In Eq. (8), yᵢ is the true label of the i-th training page and ŷᵢ its predicted probability from Eq. (7). For a phishing page (yᵢ = 1) only the first term is active, so the loss is small when ŷᵢ is close to 1; for a benign page (yᵢ = 0) only the second term is active, so the loss is small when ŷᵢ is close to 0. Confident mistakes are penalised heavily, because log(ŷ) tends to minus infinity as ŷ approaches 0. The same quantity, computed on the test set, is the log loss of 0.2900 reported in Table 5.</w:t>
      </w:r>
    </w:p>
    <w:p>
      <w:pPr>
        <w:ind w:firstLine="340"/>
      </w:pPr>
      <w:r>
        <w:rPr>
          <w:rFonts w:ascii="Times New Roman" w:hAnsi="Times New Roman"/>
          <w:b/>
          <w:sz w:val="20"/>
        </w:rPr>
        <w:t xml:space="preserve">Step 9: Decision rule.</w:t>
      </w:r>
      <w:r>
        <w:rPr>
          <w:rFonts w:ascii="Times New Roman" w:hAnsi="Times New Roman"/>
          <w:sz w:val="20"/>
        </w:rPr>
        <w:t xml:space="preserve"> The final verdict is obtained by comparing the probability with a decision threshold:</w:t>
      </w:r>
    </w:p>
    <w:p>
      <w:pPr>
        <w:tabs>
          <w:tab w:val="center" w:pos="3458"/>
          <w:tab w:val="right" w:pos="6917"/>
        </w:tabs>
        <w:spacing w:before="60" w:after="120"/>
        <w:ind w:firstLine="0"/>
      </w:pPr>
      <w:r>
        <w:rPr>
          <w:rFonts w:ascii="Times New Roman" w:hAnsi="Times New Roman"/>
          <w:sz w:val="20"/>
        </w:rPr>
        <w:tab/>
      </w:r>
      <m:oMath>
        <m:acc>
          <m:accPr>
            <m:chr m:val="^"/>
          </m:accPr>
          <m:e>
            <m:r>
              <m:rPr/>
              <w:rPr>
                <w:rFonts w:ascii="Cambria Math" w:hAnsi="Cambria Math"/>
              </w:rPr>
              <m:t xml:space="preserve">c</m:t>
            </m:r>
          </m:e>
        </m:acc>
        <m:r>
          <m:rPr/>
          <w:rPr>
            <w:rFonts w:ascii="Cambria Math" w:hAnsi="Cambria Math"/>
          </w:rPr>
          <m:t xml:space="preserve">=</m:t>
        </m:r>
        <m:d>
          <m:dPr>
            <m:begChr m:val="{"/>
            <m:endChr m:val=""/>
          </m:dPr>
          <m:e>
            <m:eqArr>
              <m:e>
                <m:r>
                  <m:rPr/>
                  <w:rPr>
                    <w:rFonts w:ascii="Cambria Math" w:hAnsi="Cambria Math"/>
                  </w:rPr>
                  <m:t xml:space="preserve">1,</m:t>
                </m:r>
                <m:r>
                  <m:rPr>
                    <m:sty m:val="p"/>
                  </m:rPr>
                  <w:rPr>
                    <w:rFonts w:ascii="Cambria Math" w:hAnsi="Cambria Math"/>
                  </w:rPr>
                  <m:t xml:space="preserve">  if </m:t>
                </m:r>
                <m:acc>
                  <m:accPr>
                    <m:chr m:val="^"/>
                  </m:accPr>
                  <m:e>
                    <m:r>
                      <m:rPr/>
                      <w:rPr>
                        <w:rFonts w:ascii="Cambria Math" w:hAnsi="Cambria Math"/>
                      </w:rPr>
                      <m:t xml:space="preserve">y</m:t>
                    </m:r>
                  </m:e>
                </m:acc>
                <m:r>
                  <m:rPr/>
                  <w:rPr>
                    <w:rFonts w:ascii="Cambria Math" w:hAnsi="Cambria Math"/>
                  </w:rPr>
                  <m:t xml:space="preserve">≥</m:t>
                </m:r>
                <m:r>
                  <m:rPr/>
                  <w:rPr>
                    <w:rFonts w:ascii="Cambria Math" w:hAnsi="Cambria Math"/>
                  </w:rPr>
                  <m:t xml:space="preserve">θ</m:t>
                </m:r>
              </m:e>
              <m:e>
                <m:r>
                  <m:rPr/>
                  <w:rPr>
                    <w:rFonts w:ascii="Cambria Math" w:hAnsi="Cambria Math"/>
                  </w:rPr>
                  <m:t xml:space="preserve">0,</m:t>
                </m:r>
                <m:r>
                  <m:rPr>
                    <m:sty m:val="p"/>
                  </m:rPr>
                  <w:rPr>
                    <w:rFonts w:ascii="Cambria Math" w:hAnsi="Cambria Math"/>
                  </w:rPr>
                  <m:t xml:space="preserve">  otherwise</m:t>
                </m:r>
              </m:e>
            </m:eqArr>
          </m:e>
        </m:d>
      </m:oMath>
      <w:r>
        <w:rPr>
          <w:rFonts w:ascii="Times New Roman" w:hAnsi="Times New Roman"/>
          <w:sz w:val="20"/>
        </w:rPr>
        <w:tab/>
        <w:t>(9)</w:t>
      </w:r>
    </w:p>
    <w:p>
      <w:pPr>
        <w:ind w:firstLine="340"/>
      </w:pPr>
      <w:r>
        <w:rPr>
          <w:rFonts w:ascii="Times New Roman" w:hAnsi="Times New Roman"/>
          <w:sz w:val="20"/>
        </w:rPr>
        <w:t xml:space="preserve">In Eq. (9), ĉ is the predicted class and θ is the decision threshold shown in Figure 1. A page is labelled phishing when its probability reaches θ and benign otherwise. Raising θ makes the detector more conservative (fewer false alarms but more missed phishing pages), whereas lowering it does the opposite. The threshold-independent metrics ROC-AUC and PR-AUC in Section 5.3 summarise performance over all possible values of θ.</w:t>
      </w:r>
    </w:p>
    <w:p>
      <w:pPr>
        <w:ind w:firstLine="340"/>
      </w:pPr>
      <w:r>
        <w:rPr>
          <w:rFonts w:ascii="Times New Roman" w:hAnsi="Times New Roman"/>
          <w:b/>
          <w:sz w:val="20"/>
        </w:rPr>
        <w:t xml:space="preserve">Step 10: Feature attribution.</w:t>
      </w:r>
      <w:r>
        <w:rPr>
          <w:rFonts w:ascii="Times New Roman" w:hAnsi="Times New Roman"/>
          <w:sz w:val="20"/>
        </w:rPr>
        <w:t xml:space="preserve"> TreeSHAP explains each individual prediction by distributing it across the 791 input features Z:</w:t>
      </w:r>
    </w:p>
    <w:p>
      <w:pPr>
        <w:tabs>
          <w:tab w:val="center" w:pos="3458"/>
          <w:tab w:val="right" w:pos="6917"/>
        </w:tabs>
        <w:spacing w:before="60" w:after="120"/>
        <w:ind w:firstLine="0"/>
      </w:pPr>
      <w:r>
        <w:rPr>
          <w:rFonts w:ascii="Times New Roman" w:hAnsi="Times New Roman"/>
          <w:sz w:val="20"/>
        </w:rPr>
        <w:tab/>
      </w:r>
      <m:oMath>
        <m:sSub>
          <m:sSubPr/>
          <m:e>
            <m:r>
              <m:rPr/>
              <w:rPr>
                <w:rFonts w:ascii="Cambria Math" w:hAnsi="Cambria Math"/>
              </w:rPr>
              <m:t xml:space="preserve">φ</m:t>
            </m:r>
          </m:e>
          <m:sub>
            <m:r>
              <m:rPr/>
              <w:rPr>
                <w:rFonts w:ascii="Cambria Math" w:hAnsi="Cambria Math"/>
              </w:rPr>
              <m:t xml:space="preserve">j</m:t>
            </m:r>
          </m:sub>
        </m:sSub>
        <m:r>
          <m:rPr/>
          <w:rPr>
            <w:rFonts w:ascii="Cambria Math" w:hAnsi="Cambria Math"/>
          </w:rPr>
          <m:t xml:space="preserve">=</m:t>
        </m:r>
        <m:nary>
          <m:naryPr>
            <m:chr m:val="∑"/>
            <m:limLoc m:val="undOvr"/>
            <m:supHide m:val="1"/>
          </m:naryPr>
          <m:sub>
            <m:r>
              <m:rPr/>
              <w:rPr>
                <w:rFonts w:ascii="Cambria Math" w:hAnsi="Cambria Math"/>
              </w:rPr>
              <m:t xml:space="preserve">S</m:t>
            </m:r>
            <m:r>
              <m:rPr/>
              <w:rPr>
                <w:rFonts w:ascii="Cambria Math" w:hAnsi="Cambria Math"/>
              </w:rPr>
              <m:t xml:space="preserve">⊆</m:t>
            </m:r>
            <m:r>
              <m:rPr/>
              <w:rPr>
                <w:rFonts w:ascii="Cambria Math" w:hAnsi="Cambria Math"/>
              </w:rPr>
              <m:t xml:space="preserve">Z</m:t>
            </m:r>
            <m:r>
              <m:rPr>
                <m:sty m:val="p"/>
              </m:rPr>
              <w:rPr>
                <w:rFonts w:ascii="Cambria Math" w:hAnsi="Cambria Math"/>
              </w:rPr>
              <m:t xml:space="preserve">∖</m:t>
            </m:r>
            <m:d>
              <m:dPr>
                <m:begChr m:val="{"/>
                <m:endChr m:val="}"/>
              </m:dPr>
              <m:e>
                <m:r>
                  <m:rPr/>
                  <w:rPr>
                    <w:rFonts w:ascii="Cambria Math" w:hAnsi="Cambria Math"/>
                  </w:rPr>
                  <m:t xml:space="preserve">j</m:t>
                </m:r>
              </m:e>
            </m:d>
          </m:sub>
          <m:sup/>
          <m:e>
            <m:f>
              <m:fPr/>
              <m:num>
                <m:r>
                  <m:rPr/>
                  <w:rPr>
                    <w:rFonts w:ascii="Cambria Math" w:hAnsi="Cambria Math"/>
                  </w:rPr>
                  <m:t xml:space="preserve">|S|!</m:t>
                </m:r>
                <m:d>
                  <m:dPr>
                    <m:begChr m:val="("/>
                    <m:endChr m:val=")"/>
                  </m:dPr>
                  <m:e>
                    <m:r>
                      <m:rPr/>
                      <w:rPr>
                        <w:rFonts w:ascii="Cambria Math" w:hAnsi="Cambria Math"/>
                      </w:rPr>
                      <m:t xml:space="preserve">|Z|−|S|−1</m:t>
                    </m:r>
                  </m:e>
                </m:d>
                <m:r>
                  <m:rPr/>
                  <w:rPr>
                    <w:rFonts w:ascii="Cambria Math" w:hAnsi="Cambria Math"/>
                  </w:rPr>
                  <m:t xml:space="preserve">!</m:t>
                </m:r>
              </m:num>
              <m:den>
                <m:r>
                  <m:rPr/>
                  <w:rPr>
                    <w:rFonts w:ascii="Cambria Math" w:hAnsi="Cambria Math"/>
                  </w:rPr>
                  <m:t xml:space="preserve">|Z|!</m:t>
                </m:r>
              </m:den>
            </m:f>
            <m:d>
              <m:dPr>
                <m:begChr m:val="["/>
                <m:endChr m:val="]"/>
              </m:dPr>
              <m:e>
                <m:sSub>
                  <m:sSubPr/>
                  <m:e>
                    <m:r>
                      <m:rPr/>
                      <w:rPr>
                        <w:rFonts w:ascii="Cambria Math" w:hAnsi="Cambria Math"/>
                      </w:rPr>
                      <m:t xml:space="preserve">F</m:t>
                    </m:r>
                  </m:e>
                  <m:sub>
                    <m:r>
                      <m:rPr/>
                      <w:rPr>
                        <w:rFonts w:ascii="Cambria Math" w:hAnsi="Cambria Math"/>
                      </w:rPr>
                      <m:t xml:space="preserve">S</m:t>
                    </m:r>
                    <m:r>
                      <m:rPr/>
                      <w:rPr>
                        <w:rFonts w:ascii="Cambria Math" w:hAnsi="Cambria Math"/>
                      </w:rPr>
                      <m:t xml:space="preserve">∪</m:t>
                    </m:r>
                    <m:d>
                      <m:dPr>
                        <m:begChr m:val="{"/>
                        <m:endChr m:val="}"/>
                      </m:dPr>
                      <m:e>
                        <m:r>
                          <m:rPr/>
                          <w:rPr>
                            <w:rFonts w:ascii="Cambria Math" w:hAnsi="Cambria Math"/>
                          </w:rPr>
                          <m:t xml:space="preserve">j</m:t>
                        </m:r>
                      </m:e>
                    </m:d>
                  </m:sub>
                </m:sSub>
                <m:d>
                  <m:dPr>
                    <m:begChr m:val="("/>
                    <m:endChr m:val=")"/>
                  </m:dPr>
                  <m:e>
                    <m:r>
                      <m:rPr/>
                      <w:rPr>
                        <w:rFonts w:ascii="Cambria Math" w:hAnsi="Cambria Math"/>
                      </w:rPr>
                      <m:t xml:space="preserve">z</m:t>
                    </m:r>
                  </m:e>
                </m:d>
                <m:r>
                  <m:rPr/>
                  <w:rPr>
                    <w:rFonts w:ascii="Cambria Math" w:hAnsi="Cambria Math"/>
                  </w:rPr>
                  <m:t xml:space="preserve">−</m:t>
                </m:r>
                <m:sSub>
                  <m:sSubPr/>
                  <m:e>
                    <m:r>
                      <m:rPr/>
                      <w:rPr>
                        <w:rFonts w:ascii="Cambria Math" w:hAnsi="Cambria Math"/>
                      </w:rPr>
                      <m:t xml:space="preserve">F</m:t>
                    </m:r>
                  </m:e>
                  <m:sub>
                    <m:r>
                      <m:rPr/>
                      <w:rPr>
                        <w:rFonts w:ascii="Cambria Math" w:hAnsi="Cambria Math"/>
                      </w:rPr>
                      <m:t xml:space="preserve">S</m:t>
                    </m:r>
                  </m:sub>
                </m:sSub>
                <m:d>
                  <m:dPr>
                    <m:begChr m:val="("/>
                    <m:endChr m:val=")"/>
                  </m:dPr>
                  <m:e>
                    <m:r>
                      <m:rPr/>
                      <w:rPr>
                        <w:rFonts w:ascii="Cambria Math" w:hAnsi="Cambria Math"/>
                      </w:rPr>
                      <m:t xml:space="preserve">z</m:t>
                    </m:r>
                  </m:e>
                </m:d>
              </m:e>
            </m:d>
          </m:e>
        </m:nary>
      </m:oMath>
      <w:r>
        <w:rPr>
          <w:rFonts w:ascii="Times New Roman" w:hAnsi="Times New Roman"/>
          <w:sz w:val="20"/>
        </w:rPr>
        <w:tab/>
        <w:t>(10)</w:t>
      </w:r>
    </w:p>
    <w:p>
      <w:pPr>
        <w:ind w:firstLine="340"/>
      </w:pPr>
      <w:r>
        <w:rPr>
          <w:rFonts w:ascii="Times New Roman" w:hAnsi="Times New Roman"/>
          <w:sz w:val="20"/>
        </w:rPr>
        <w:t xml:space="preserve">In Eq. (10), φⱼ is the Shapley value of feature j, S is any subset of the other features, |S| is the size of that subset and |Z| = 791. F_S(z) is the model output when only the features in S are known, and F_S∪{j}(z) is the output when feature j is added. The bracket is therefore the marginal contribution of feature j to a particular coalition, and the factorial weight averages this contribution fairly over every order in which features could be added. A positive φⱼ means that feature j pushed this page towards phishing, and a negative value means it pushed it towards benign. TreeSHAP computes Eq. (10) exactly for tree ensembles in polynomial time, rather than enumerating all 2⁷⁹⁰ subsets.</w:t>
      </w:r>
    </w:p>
    <w:p>
      <w:pPr>
        <w:ind w:firstLine="340"/>
      </w:pPr>
      <w:r>
        <w:rPr>
          <w:rFonts w:ascii="Times New Roman" w:hAnsi="Times New Roman"/>
          <w:b/>
          <w:sz w:val="20"/>
        </w:rPr>
        <w:t xml:space="preserve">Step 11: Additivity of the explanation.</w:t>
      </w:r>
      <w:r>
        <w:rPr>
          <w:rFonts w:ascii="Times New Roman" w:hAnsi="Times New Roman"/>
          <w:sz w:val="20"/>
        </w:rPr>
        <w:t xml:space="preserve"> The Shapley values satisfy the local-accuracy property:</w:t>
      </w:r>
    </w:p>
    <w:p>
      <w:pPr>
        <w:tabs>
          <w:tab w:val="center" w:pos="3458"/>
          <w:tab w:val="right" w:pos="6917"/>
        </w:tabs>
        <w:spacing w:before="60" w:after="120"/>
        <w:ind w:firstLine="0"/>
      </w:pPr>
      <w:r>
        <w:rPr>
          <w:rFonts w:ascii="Times New Roman" w:hAnsi="Times New Roman"/>
          <w:sz w:val="20"/>
        </w:rPr>
        <w:tab/>
      </w:r>
      <m:oMath>
        <m:r>
          <m:rPr/>
          <w:rPr>
            <w:rFonts w:ascii="Cambria Math" w:hAnsi="Cambria Math"/>
          </w:rPr>
          <m:t xml:space="preserve">F</m:t>
        </m:r>
        <m:d>
          <m:dPr>
            <m:begChr m:val="("/>
            <m:endChr m:val=")"/>
          </m:dPr>
          <m:e>
            <m:r>
              <m:rPr/>
              <w:rPr>
                <w:rFonts w:ascii="Cambria Math" w:hAnsi="Cambria Math"/>
              </w:rPr>
              <m:t xml:space="preserve">z</m:t>
            </m:r>
          </m:e>
        </m:d>
        <m:r>
          <m:rPr/>
          <w:rPr>
            <w:rFonts w:ascii="Cambria Math" w:hAnsi="Cambria Math"/>
          </w:rPr>
          <m:t xml:space="preserve">=</m:t>
        </m:r>
        <m:sSub>
          <m:sSubPr/>
          <m:e>
            <m:r>
              <m:rPr/>
              <w:rPr>
                <w:rFonts w:ascii="Cambria Math" w:hAnsi="Cambria Math"/>
              </w:rPr>
              <m:t xml:space="preserve">φ</m:t>
            </m:r>
          </m:e>
          <m:sub>
            <m:r>
              <m:rPr>
                <m:sty m:val="p"/>
              </m:rPr>
              <w:rPr>
                <w:rFonts w:ascii="Cambria Math" w:hAnsi="Cambria Math"/>
              </w:rPr>
              <m:t xml:space="preserve">0</m:t>
            </m:r>
          </m:sub>
        </m:sSub>
        <m:r>
          <m:rPr/>
          <w:rPr>
            <w:rFonts w:ascii="Cambria Math" w:hAnsi="Cambria Math"/>
          </w:rPr>
          <m:t xml:space="preserve">+</m:t>
        </m:r>
        <m:nary>
          <m:naryPr>
            <m:chr m:val="∑"/>
            <m:limLoc m:val="undOvr"/>
          </m:naryPr>
          <m:sub>
            <m:r>
              <m:rPr/>
              <w:rPr>
                <w:rFonts w:ascii="Cambria Math" w:hAnsi="Cambria Math"/>
              </w:rPr>
              <m:t xml:space="preserve">j</m:t>
            </m:r>
            <m:r>
              <m:rPr>
                <m:sty m:val="p"/>
              </m:rPr>
              <w:rPr>
                <w:rFonts w:ascii="Cambria Math" w:hAnsi="Cambria Math"/>
              </w:rPr>
              <m:t xml:space="preserve">=1</m:t>
            </m:r>
          </m:sub>
          <m:sup>
            <m:r>
              <m:rPr/>
              <w:rPr>
                <w:rFonts w:ascii="Cambria Math" w:hAnsi="Cambria Math"/>
              </w:rPr>
              <m:t xml:space="preserve">|Z|</m:t>
            </m:r>
          </m:sup>
          <m:e>
            <m:sSub>
              <m:sSubPr/>
              <m:e>
                <m:r>
                  <m:rPr/>
                  <w:rPr>
                    <w:rFonts w:ascii="Cambria Math" w:hAnsi="Cambria Math"/>
                  </w:rPr>
                  <m:t xml:space="preserve">φ</m:t>
                </m:r>
              </m:e>
              <m:sub>
                <m:r>
                  <m:rPr/>
                  <w:rPr>
                    <w:rFonts w:ascii="Cambria Math" w:hAnsi="Cambria Math"/>
                  </w:rPr>
                  <m:t xml:space="preserve">j</m:t>
                </m:r>
              </m:sub>
            </m:sSub>
          </m:e>
        </m:nary>
      </m:oMath>
      <w:r>
        <w:rPr>
          <w:rFonts w:ascii="Times New Roman" w:hAnsi="Times New Roman"/>
          <w:sz w:val="20"/>
        </w:rPr>
        <w:tab/>
        <w:t>(11)</w:t>
      </w:r>
    </w:p>
    <w:p>
      <w:pPr>
        <w:ind w:firstLine="340"/>
      </w:pPr>
      <w:r>
        <w:rPr>
          <w:rFonts w:ascii="Times New Roman" w:hAnsi="Times New Roman"/>
          <w:sz w:val="20"/>
        </w:rPr>
        <w:t xml:space="preserve">In Eq. (11), φ₀ is the expected model output over the background data, that is, the score the model would give before seeing any feature of this page. Adding the contributions φⱼ of all 791 features reproduces the exact raw score F(z) of Eq. (6). This is what makes the explanation faithful: the attributions are not an approximation of the decision but an exact decomposition of it, which the explanation layer can then translate into plain language.</w:t>
      </w:r>
    </w:p>
    <w:p>
      <w:pPr>
        <w:ind w:firstLine="340"/>
      </w:pPr>
      <w:r>
        <w:rPr>
          <w:rFonts w:ascii="Times New Roman" w:hAnsi="Times New Roman"/>
          <w:b/>
          <w:sz w:val="20"/>
        </w:rPr>
        <w:t xml:space="preserve">Step 12: Group importance.</w:t>
      </w:r>
      <w:r>
        <w:rPr>
          <w:rFonts w:ascii="Times New Roman" w:hAnsi="Times New Roman"/>
          <w:sz w:val="20"/>
        </w:rPr>
        <w:t xml:space="preserve"> For reporting, the individual attributions are aggregated by feature group:</w:t>
      </w:r>
    </w:p>
    <w:p>
      <w:pPr>
        <w:tabs>
          <w:tab w:val="center" w:pos="3458"/>
          <w:tab w:val="right" w:pos="6917"/>
        </w:tabs>
        <w:spacing w:before="60" w:after="120"/>
        <w:ind w:firstLine="0"/>
      </w:pPr>
      <w:r>
        <w:rPr>
          <w:rFonts w:ascii="Times New Roman" w:hAnsi="Times New Roman"/>
          <w:sz w:val="20"/>
        </w:rPr>
        <w:tab/>
      </w:r>
      <m:oMath>
        <m:sSub>
          <m:sSubPr/>
          <m:e>
            <m:r>
              <m:rPr/>
              <w:rPr>
                <w:rFonts w:ascii="Cambria Math" w:hAnsi="Cambria Math"/>
              </w:rPr>
              <m:t xml:space="preserve">Φ</m:t>
            </m:r>
          </m:e>
          <m:sub>
            <m:r>
              <m:rPr/>
              <w:rPr>
                <w:rFonts w:ascii="Cambria Math" w:hAnsi="Cambria Math"/>
              </w:rPr>
              <m:t xml:space="preserve">G</m:t>
            </m:r>
          </m:sub>
        </m:sSub>
        <m:r>
          <m:rPr/>
          <w:rPr>
            <w:rFonts w:ascii="Cambria Math" w:hAnsi="Cambria Math"/>
          </w:rPr>
          <m:t xml:space="preserve">=</m:t>
        </m:r>
        <m:f>
          <m:fPr/>
          <m:num>
            <m:r>
              <m:rPr>
                <m:sty m:val="p"/>
              </m:rPr>
              <w:rPr>
                <w:rFonts w:ascii="Cambria Math" w:hAnsi="Cambria Math"/>
              </w:rPr>
              <m:t xml:space="preserve">1</m:t>
            </m:r>
          </m:num>
          <m:den>
            <m:r>
              <m:rPr/>
              <w:rPr>
                <w:rFonts w:ascii="Cambria Math" w:hAnsi="Cambria Math"/>
              </w:rPr>
              <m:t xml:space="preserve">N</m:t>
            </m:r>
          </m:den>
        </m:f>
        <m:nary>
          <m:naryPr>
            <m:chr m:val="∑"/>
            <m:limLoc m:val="undOvr"/>
          </m:naryPr>
          <m:sub>
            <m:r>
              <m:rPr/>
              <w:rPr>
                <w:rFonts w:ascii="Cambria Math" w:hAnsi="Cambria Math"/>
              </w:rPr>
              <m:t xml:space="preserve">i</m:t>
            </m:r>
            <m:r>
              <m:rPr>
                <m:sty m:val="p"/>
              </m:rPr>
              <w:rPr>
                <w:rFonts w:ascii="Cambria Math" w:hAnsi="Cambria Math"/>
              </w:rPr>
              <m:t xml:space="preserve">=1</m:t>
            </m:r>
          </m:sub>
          <m:sup>
            <m:r>
              <m:rPr/>
              <w:rPr>
                <w:rFonts w:ascii="Cambria Math" w:hAnsi="Cambria Math"/>
              </w:rPr>
              <m:t xml:space="preserve">N</m:t>
            </m:r>
          </m:sup>
          <m:e>
            <m:nary>
              <m:naryPr>
                <m:chr m:val="∑"/>
                <m:limLoc m:val="undOvr"/>
                <m:supHide m:val="1"/>
              </m:naryPr>
              <m:sub>
                <m:r>
                  <m:rPr/>
                  <w:rPr>
                    <w:rFonts w:ascii="Cambria Math" w:hAnsi="Cambria Math"/>
                  </w:rPr>
                  <m:t xml:space="preserve">j</m:t>
                </m:r>
                <m:r>
                  <m:rPr/>
                  <w:rPr>
                    <w:rFonts w:ascii="Cambria Math" w:hAnsi="Cambria Math"/>
                  </w:rPr>
                  <m:t xml:space="preserve">∈</m:t>
                </m:r>
                <m:r>
                  <m:rPr/>
                  <w:rPr>
                    <w:rFonts w:ascii="Cambria Math" w:hAnsi="Cambria Math"/>
                  </w:rPr>
                  <m:t xml:space="preserve">G</m:t>
                </m:r>
              </m:sub>
              <m:sup/>
              <m:e>
                <m:d>
                  <m:dPr>
                    <m:begChr m:val="|"/>
                    <m:endChr m:val="|"/>
                  </m:dPr>
                  <m:e>
                    <m:sSubSup>
                      <m:sSubSupPr/>
                      <m:e>
                        <m:r>
                          <m:rPr/>
                          <w:rPr>
                            <w:rFonts w:ascii="Cambria Math" w:hAnsi="Cambria Math"/>
                          </w:rPr>
                          <m:t xml:space="preserve">φ</m:t>
                        </m:r>
                      </m:e>
                      <m:sub>
                        <m:r>
                          <m:rPr/>
                          <w:rPr>
                            <w:rFonts w:ascii="Cambria Math" w:hAnsi="Cambria Math"/>
                          </w:rPr>
                          <m:t xml:space="preserve">j</m:t>
                        </m:r>
                      </m:sub>
                      <m:sup>
                        <m:d>
                          <m:dPr>
                            <m:begChr m:val="("/>
                            <m:endChr m:val=")"/>
                          </m:dPr>
                          <m:e>
                            <m:r>
                              <m:rPr/>
                              <w:rPr>
                                <w:rFonts w:ascii="Cambria Math" w:hAnsi="Cambria Math"/>
                              </w:rPr>
                              <m:t xml:space="preserve">i</m:t>
                            </m:r>
                          </m:e>
                        </m:d>
                      </m:sup>
                    </m:sSubSup>
                  </m:e>
                </m:d>
              </m:e>
            </m:nary>
          </m:e>
        </m:nary>
      </m:oMath>
      <w:r>
        <w:rPr>
          <w:rFonts w:ascii="Times New Roman" w:hAnsi="Times New Roman"/>
          <w:sz w:val="20"/>
        </w:rPr>
        <w:tab/>
        <w:t>(12)</w:t>
      </w:r>
    </w:p>
    <w:p>
      <w:pPr>
        <w:ind w:firstLine="340"/>
      </w:pPr>
      <w:r>
        <w:rPr>
          <w:rFonts w:ascii="Times New Roman" w:hAnsi="Times New Roman"/>
          <w:sz w:val="20"/>
        </w:rPr>
        <w:t xml:space="preserve">In Eq. (12), G is a feature group (for example, the 13 URL features or the 768 semantic dimensions), N is the number of explained instances (500 in Section 5.5) and φⱼ⁽ⁱ⁾ is the Shapley value of feature j for instance i. Taking the absolute value ensures that positive and negative contributions do not cancel out, so Φ_G measures how strongly a group influences predictions on average, regardless of direction. This aggregation is needed because individual embedding dimensions have no human-readable meaning, whereas the group as a whole does.</w:t>
      </w:r>
    </w:p>
    <w:p>
      <w:pPr>
        <w:ind w:firstLine="340"/>
      </w:pPr>
      <w:r>
        <w:rPr>
          <w:rFonts w:ascii="Times New Roman" w:hAnsi="Times New Roman"/>
          <w:sz w:val="20"/>
        </w:rPr>
        <w:t xml:space="preserve">Algorithm 1 summarises the complete inference procedure.</w:t>
      </w:r>
    </w:p>
    <w:p>
      <w:pPr>
        <w:ind w:firstLine="0"/>
      </w:pPr>
      <w:r>
        <w:rPr>
          <w:rFonts w:ascii="Times New Roman" w:hAnsi="Times New Roman"/>
          <w:b/>
          <w:sz w:val="20"/>
        </w:rPr>
        <w:t xml:space="preserve">Algorithm 1: PhishXpert inference</w:t>
      </w:r>
    </w:p>
    <w:p>
      <w:pPr>
        <w:tabs>
          <w:tab w:val="left" w:pos="340"/>
        </w:tabs>
        <w:spacing w:after="60"/>
        <w:ind w:left="340" w:hanging="340"/>
      </w:pPr>
      <w:r>
        <w:rPr>
          <w:rFonts w:ascii="Times New Roman" w:hAnsi="Times New Roman"/>
          <w:sz w:val="20"/>
        </w:rPr>
        <w:t xml:space="preserve">1.</w:t>
      </w:r>
      <w:r>
        <w:rPr>
          <w:rFonts w:ascii="Times New Roman" w:hAnsi="Times New Roman"/>
          <w:sz w:val="20"/>
        </w:rPr>
        <w:tab/>
      </w:r>
      <w:r>
        <w:rPr>
          <w:rFonts w:ascii="Times New Roman" w:hAnsi="Times New Roman"/>
          <w:sz w:val="20"/>
        </w:rPr>
        <w:t xml:space="preserve">Receive URL u and attempt webpage retrieval. If retrieval fails, switch to URL-only mode.</w:t>
      </w:r>
    </w:p>
    <w:p>
      <w:pPr>
        <w:tabs>
          <w:tab w:val="left" w:pos="340"/>
        </w:tabs>
        <w:spacing w:after="60"/>
        <w:ind w:left="340" w:hanging="340"/>
      </w:pPr>
      <w:r>
        <w:rPr>
          <w:rFonts w:ascii="Times New Roman" w:hAnsi="Times New Roman"/>
          <w:sz w:val="20"/>
        </w:rPr>
        <w:t xml:space="preserve">2.</w:t>
      </w:r>
      <w:r>
        <w:rPr>
          <w:rFonts w:ascii="Times New Roman" w:hAnsi="Times New Roman"/>
          <w:sz w:val="20"/>
        </w:rPr>
        <w:tab/>
      </w:r>
      <w:r>
        <w:rPr>
          <w:rFonts w:ascii="Times New Roman" w:hAnsi="Times New Roman"/>
          <w:sz w:val="20"/>
        </w:rPr>
        <w:t xml:space="preserve">Parse the HTML, extract the 23 engineered URL, HTML, hyperlink and form features as x, and extract the visible text t.</w:t>
      </w:r>
    </w:p>
    <w:p>
      <w:pPr>
        <w:tabs>
          <w:tab w:val="left" w:pos="340"/>
        </w:tabs>
        <w:spacing w:after="60"/>
        <w:ind w:left="340" w:hanging="340"/>
      </w:pPr>
      <w:r>
        <w:rPr>
          <w:rFonts w:ascii="Times New Roman" w:hAnsi="Times New Roman"/>
          <w:sz w:val="20"/>
        </w:rPr>
        <w:t xml:space="preserve">3.</w:t>
      </w:r>
      <w:r>
        <w:rPr>
          <w:rFonts w:ascii="Times New Roman" w:hAnsi="Times New Roman"/>
          <w:sz w:val="20"/>
        </w:rPr>
        <w:tab/>
      </w:r>
      <w:r>
        <w:rPr>
          <w:rFonts w:ascii="Times New Roman" w:hAnsi="Times New Roman"/>
          <w:sz w:val="20"/>
        </w:rPr>
        <w:t xml:space="preserve">Encode t with frozen DistilBERT to obtain the 768-dimensional first-token representation e, and concatenate it with x to form z ∈ ℝ⁷⁹¹.</w:t>
      </w:r>
    </w:p>
    <w:p>
      <w:pPr>
        <w:tabs>
          <w:tab w:val="left" w:pos="340"/>
        </w:tabs>
        <w:spacing w:after="60"/>
        <w:ind w:left="340" w:hanging="340"/>
      </w:pPr>
      <w:r>
        <w:rPr>
          <w:rFonts w:ascii="Times New Roman" w:hAnsi="Times New Roman"/>
          <w:sz w:val="20"/>
        </w:rPr>
        <w:t xml:space="preserve">4.</w:t>
      </w:r>
      <w:r>
        <w:rPr>
          <w:rFonts w:ascii="Times New Roman" w:hAnsi="Times New Roman"/>
          <w:sz w:val="20"/>
        </w:rPr>
        <w:tab/>
      </w:r>
      <w:r>
        <w:rPr>
          <w:rFonts w:ascii="Times New Roman" w:hAnsi="Times New Roman"/>
          <w:sz w:val="20"/>
        </w:rPr>
        <w:t xml:space="preserve">Pass z to LightGBM and obtain the phishing probability; in URL-only mode, use the URL-derived evidence available to the application.</w:t>
      </w:r>
    </w:p>
    <w:p>
      <w:pPr>
        <w:tabs>
          <w:tab w:val="left" w:pos="340"/>
        </w:tabs>
        <w:spacing w:after="60"/>
        <w:ind w:left="340" w:hanging="340"/>
      </w:pPr>
      <w:r>
        <w:rPr>
          <w:rFonts w:ascii="Times New Roman" w:hAnsi="Times New Roman"/>
          <w:sz w:val="20"/>
        </w:rPr>
        <w:t xml:space="preserve">5.</w:t>
      </w:r>
      <w:r>
        <w:rPr>
          <w:rFonts w:ascii="Times New Roman" w:hAnsi="Times New Roman"/>
          <w:sz w:val="20"/>
        </w:rPr>
        <w:tab/>
      </w:r>
      <w:r>
        <w:rPr>
          <w:rFonts w:ascii="Times New Roman" w:hAnsi="Times New Roman"/>
          <w:sz w:val="20"/>
        </w:rPr>
        <w:t xml:space="preserve">Compute TreeSHAP feature attributions and aggregate the global importance of the feature groups.</w:t>
      </w:r>
    </w:p>
    <w:p>
      <w:pPr>
        <w:tabs>
          <w:tab w:val="left" w:pos="340"/>
        </w:tabs>
        <w:spacing w:after="60"/>
        <w:ind w:left="340" w:hanging="340"/>
      </w:pPr>
      <w:r>
        <w:rPr>
          <w:rFonts w:ascii="Times New Roman" w:hAnsi="Times New Roman"/>
          <w:sz w:val="20"/>
        </w:rPr>
        <w:t xml:space="preserve">6.</w:t>
      </w:r>
      <w:r>
        <w:rPr>
          <w:rFonts w:ascii="Times New Roman" w:hAnsi="Times New Roman"/>
          <w:sz w:val="20"/>
        </w:rPr>
        <w:tab/>
      </w:r>
      <w:r>
        <w:rPr>
          <w:rFonts w:ascii="Times New Roman" w:hAnsi="Times New Roman"/>
          <w:sz w:val="20"/>
        </w:rPr>
        <w:t xml:space="preserve">Verify the domain, collect the available webpage evidence, retrieve relevant cybersecurity knowledge, generate the explanation, and return the verdict, confidence and evidence summary.</w:t>
      </w:r>
    </w:p>
    <w:p>
      <w:pPr>
        <w:pStyle w:val="2"/>
        <w:ind w:firstLine="0"/>
        <w:jc w:val="left"/>
      </w:pPr>
      <w:r>
        <w:rPr>
          <w:rFonts w:ascii="Times New Roman" w:hAnsi="Times New Roman"/>
          <w:b/>
          <w:sz w:val="24"/>
        </w:rPr>
        <w:t xml:space="preserve">4  Experimental Setup</w:t>
      </w:r>
    </w:p>
    <w:p>
      <w:pPr>
        <w:pStyle w:val="3"/>
        <w:ind w:firstLine="0"/>
        <w:jc w:val="left"/>
      </w:pPr>
      <w:r>
        <w:rPr>
          <w:rFonts w:ascii="Times New Roman" w:hAnsi="Times New Roman"/>
          <w:b/>
          <w:sz w:val="20"/>
        </w:rPr>
        <w:t xml:space="preserve">4.1  Experimental Setup and System Requirements</w:t>
      </w:r>
    </w:p>
    <w:p>
      <w:pPr>
        <w:ind w:firstLine="0"/>
      </w:pPr>
      <w:r>
        <w:rPr>
          <w:rFonts w:ascii="Times New Roman" w:hAnsi="Times New Roman"/>
          <w:sz w:val="20"/>
        </w:rPr>
        <w:t xml:space="preserve">All experiments were run on a CPU-only Windows machine with random seed 42. Table 3 lists the platform, hardware, software libraries and datasets used.</w:t>
      </w:r>
    </w:p>
    <w:tbl>
      <w:tblPr>
        <w:tblStyle w:val="29"/>
        <w:tblW w:w="680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2400"/>
        <w:gridCol w:w="4400"/>
      </w:tblGrid>
      <w:tr>
        <w:trPr>
          <w:cantSplit/>
          <w:tblHeader/>
          <w:jc w:val="center"/>
        </w:trPr>
        <w:tc>
          <w:tcPr>
            <w:tcW w:w="2400" w:type="dxa"/>
            <w:tcBorders>
              <w:bottom w:val="single" w:color="000000" w:sz="4" w:space="0"/>
            </w:tcBorders>
            <w:vAlign w:val="center"/>
          </w:tcPr>
          <w:p>
            <w:pPr>
              <w:spacing w:before="20" w:after="20"/>
              <w:ind w:firstLine="0"/>
              <w:jc w:val="left"/>
            </w:pPr>
            <w:r>
              <w:rPr>
                <w:rFonts w:ascii="Times New Roman" w:hAnsi="Times New Roman"/>
                <w:b/>
                <w:sz w:val="17"/>
              </w:rPr>
              <w:t xml:space="preserve">Parameter</w:t>
            </w:r>
          </w:p>
        </w:tc>
        <w:tc>
          <w:tcPr>
            <w:tcW w:w="4400" w:type="dxa"/>
            <w:tcBorders>
              <w:bottom w:val="single" w:color="000000" w:sz="4" w:space="0"/>
            </w:tcBorders>
            <w:vAlign w:val="center"/>
          </w:tcPr>
          <w:p>
            <w:pPr>
              <w:spacing w:before="20" w:after="20"/>
              <w:ind w:firstLine="0"/>
              <w:jc w:val="center"/>
            </w:pPr>
            <w:r>
              <w:rPr>
                <w:rFonts w:ascii="Times New Roman" w:hAnsi="Times New Roman"/>
                <w:b/>
                <w:sz w:val="17"/>
              </w:rPr>
              <w:t xml:space="preserve">Description</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Platform</w:t>
            </w:r>
          </w:p>
        </w:tc>
        <w:tc>
          <w:tcPr>
            <w:tcW w:w="4400" w:type="dxa"/>
            <w:vAlign w:val="center"/>
          </w:tcPr>
          <w:p>
            <w:pPr>
              <w:keepNext/>
              <w:spacing w:before="20" w:after="20"/>
              <w:ind w:firstLine="0"/>
              <w:jc w:val="left"/>
            </w:pPr>
            <w:r>
              <w:rPr>
                <w:rFonts w:ascii="Times New Roman" w:hAnsi="Times New Roman"/>
                <w:sz w:val="17"/>
              </w:rPr>
              <w:t xml:space="preserve">Python 3.13.3</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Operating system (OS)</w:t>
            </w:r>
          </w:p>
        </w:tc>
        <w:tc>
          <w:tcPr>
            <w:tcW w:w="4400" w:type="dxa"/>
            <w:vAlign w:val="center"/>
          </w:tcPr>
          <w:p>
            <w:pPr>
              <w:keepNext/>
              <w:spacing w:before="20" w:after="20"/>
              <w:ind w:firstLine="0"/>
              <w:jc w:val="left"/>
            </w:pPr>
            <w:r>
              <w:rPr>
                <w:rFonts w:ascii="Times New Roman" w:hAnsi="Times New Roman"/>
                <w:sz w:val="17"/>
              </w:rPr>
              <w:t xml:space="preserve">Windows</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Processor</w:t>
            </w:r>
          </w:p>
        </w:tc>
        <w:tc>
          <w:tcPr>
            <w:tcW w:w="4400" w:type="dxa"/>
            <w:vAlign w:val="center"/>
          </w:tcPr>
          <w:p>
            <w:pPr>
              <w:keepNext/>
              <w:spacing w:before="20" w:after="20"/>
              <w:ind w:firstLine="0"/>
              <w:jc w:val="left"/>
            </w:pPr>
            <w:r>
              <w:rPr>
                <w:rFonts w:ascii="Times New Roman" w:hAnsi="Times New Roman"/>
                <w:sz w:val="17"/>
              </w:rPr>
              <w:t xml:space="preserve">11th Gen Intel(R) Core(TM) i5-1135G7</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Clock rate</w:t>
            </w:r>
          </w:p>
        </w:tc>
        <w:tc>
          <w:tcPr>
            <w:tcW w:w="4400" w:type="dxa"/>
            <w:vAlign w:val="center"/>
          </w:tcPr>
          <w:p>
            <w:pPr>
              <w:keepNext/>
              <w:spacing w:before="20" w:after="20"/>
              <w:ind w:firstLine="0"/>
              <w:jc w:val="left"/>
            </w:pPr>
            <w:r>
              <w:rPr>
                <w:rFonts w:ascii="Times New Roman" w:hAnsi="Times New Roman"/>
                <w:sz w:val="17"/>
              </w:rPr>
              <w:t xml:space="preserve">2.40 GHz</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RAM</w:t>
            </w:r>
          </w:p>
        </w:tc>
        <w:tc>
          <w:tcPr>
            <w:tcW w:w="4400" w:type="dxa"/>
            <w:vAlign w:val="center"/>
          </w:tcPr>
          <w:p>
            <w:pPr>
              <w:keepNext/>
              <w:spacing w:before="20" w:after="20"/>
              <w:ind w:firstLine="0"/>
              <w:jc w:val="left"/>
            </w:pPr>
            <w:r>
              <w:rPr>
                <w:rFonts w:ascii="Times New Roman" w:hAnsi="Times New Roman"/>
                <w:sz w:val="17"/>
              </w:rPr>
              <w:t xml:space="preserve">7.73 GB</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Compute</w:t>
            </w:r>
          </w:p>
        </w:tc>
        <w:tc>
          <w:tcPr>
            <w:tcW w:w="4400" w:type="dxa"/>
            <w:vAlign w:val="center"/>
          </w:tcPr>
          <w:p>
            <w:pPr>
              <w:keepNext/>
              <w:spacing w:before="20" w:after="20"/>
              <w:ind w:firstLine="0"/>
              <w:jc w:val="left"/>
            </w:pPr>
            <w:r>
              <w:rPr>
                <w:rFonts w:ascii="Times New Roman" w:hAnsi="Times New Roman"/>
                <w:sz w:val="17"/>
              </w:rPr>
              <w:t xml:space="preserve">CPU only (no GPU used)</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Machine-learning libraries</w:t>
            </w:r>
          </w:p>
        </w:tc>
        <w:tc>
          <w:tcPr>
            <w:tcW w:w="4400" w:type="dxa"/>
            <w:vAlign w:val="center"/>
          </w:tcPr>
          <w:p>
            <w:pPr>
              <w:keepNext/>
              <w:spacing w:before="20" w:after="20"/>
              <w:ind w:firstLine="0"/>
              <w:jc w:val="left"/>
            </w:pPr>
            <w:r>
              <w:rPr>
                <w:rFonts w:ascii="Times New Roman" w:hAnsi="Times New Roman"/>
                <w:sz w:val="17"/>
              </w:rPr>
              <w:t xml:space="preserve">scikit-learn 1.9.0, LightGBM 4.7.0, XGBoost 3.4.1, CatBoost 1.2.10</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Deep-learning libraries</w:t>
            </w:r>
          </w:p>
        </w:tc>
        <w:tc>
          <w:tcPr>
            <w:tcW w:w="4400" w:type="dxa"/>
            <w:vAlign w:val="center"/>
          </w:tcPr>
          <w:p>
            <w:pPr>
              <w:keepNext/>
              <w:spacing w:before="20" w:after="20"/>
              <w:ind w:firstLine="0"/>
              <w:jc w:val="left"/>
            </w:pPr>
            <w:r>
              <w:rPr>
                <w:rFonts w:ascii="Times New Roman" w:hAnsi="Times New Roman"/>
                <w:sz w:val="17"/>
              </w:rPr>
              <w:t xml:space="preserve">PyTorch 2.14.0, Transformers 5.17.0 (distilbert-base-uncased)</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Explainability library</w:t>
            </w:r>
          </w:p>
        </w:tc>
        <w:tc>
          <w:tcPr>
            <w:tcW w:w="4400" w:type="dxa"/>
            <w:vAlign w:val="center"/>
          </w:tcPr>
          <w:p>
            <w:pPr>
              <w:keepNext/>
              <w:spacing w:before="20" w:after="20"/>
              <w:ind w:firstLine="0"/>
              <w:jc w:val="left"/>
            </w:pPr>
            <w:r>
              <w:rPr>
                <w:rFonts w:ascii="Times New Roman" w:hAnsi="Times New Roman"/>
                <w:sz w:val="17"/>
              </w:rPr>
              <w:t xml:space="preserve">SHAP 0.52.0 (TreeSHAP)</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Web application</w:t>
            </w:r>
          </w:p>
        </w:tc>
        <w:tc>
          <w:tcPr>
            <w:tcW w:w="4400" w:type="dxa"/>
            <w:vAlign w:val="center"/>
          </w:tcPr>
          <w:p>
            <w:pPr>
              <w:keepNext/>
              <w:spacing w:before="20" w:after="20"/>
              <w:ind w:firstLine="0"/>
              <w:jc w:val="left"/>
            </w:pPr>
            <w:r>
              <w:rPr>
                <w:rFonts w:ascii="Times New Roman" w:hAnsi="Times New Roman"/>
                <w:sz w:val="17"/>
              </w:rPr>
              <w:t xml:space="preserve">FastAPI 0.141.1 backend; React/TypeScript/Vite frontend</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Data sets</w:t>
            </w:r>
          </w:p>
        </w:tc>
        <w:tc>
          <w:tcPr>
            <w:tcW w:w="4400" w:type="dxa"/>
            <w:vAlign w:val="center"/>
          </w:tcPr>
          <w:p>
            <w:pPr>
              <w:keepNext/>
              <w:spacing w:before="20" w:after="20"/>
              <w:ind w:firstLine="0"/>
              <w:jc w:val="left"/>
            </w:pPr>
            <w:r>
              <w:rPr>
                <w:rFonts w:ascii="Times New Roman" w:hAnsi="Times New Roman"/>
                <w:sz w:val="17"/>
              </w:rPr>
              <w:t xml:space="preserve">D1 [Aljofey et al. 2022]; CompPhish [Goenka 2026]</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Dataset size</w:t>
            </w:r>
          </w:p>
        </w:tc>
        <w:tc>
          <w:tcPr>
            <w:tcW w:w="4400" w:type="dxa"/>
            <w:vAlign w:val="center"/>
          </w:tcPr>
          <w:p>
            <w:pPr>
              <w:keepNext/>
              <w:spacing w:before="20" w:after="20"/>
              <w:ind w:firstLine="0"/>
              <w:jc w:val="left"/>
            </w:pPr>
            <w:r>
              <w:rPr>
                <w:rFonts w:ascii="Times New Roman" w:hAnsi="Times New Roman"/>
                <w:sz w:val="17"/>
              </w:rPr>
              <w:t xml:space="preserve">D1: 60,252 pages (balanced subset of 5,000 used); CompPhish: 15,358 pages (3,000 used)</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Train / test split</w:t>
            </w:r>
          </w:p>
        </w:tc>
        <w:tc>
          <w:tcPr>
            <w:tcW w:w="4400" w:type="dxa"/>
            <w:vAlign w:val="center"/>
          </w:tcPr>
          <w:p>
            <w:pPr>
              <w:keepNext/>
              <w:spacing w:before="20" w:after="20"/>
              <w:ind w:firstLine="0"/>
              <w:jc w:val="left"/>
            </w:pPr>
            <w:r>
              <w:rPr>
                <w:rFonts w:ascii="Times New Roman" w:hAnsi="Times New Roman"/>
                <w:sz w:val="17"/>
              </w:rPr>
              <w:t xml:space="preserve">4,000 / 1,000 pages (stratified, 80:20)</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Feature dimension</w:t>
            </w:r>
          </w:p>
        </w:tc>
        <w:tc>
          <w:tcPr>
            <w:tcW w:w="4400" w:type="dxa"/>
            <w:vAlign w:val="center"/>
          </w:tcPr>
          <w:p>
            <w:pPr>
              <w:keepNext/>
              <w:spacing w:before="20" w:after="20"/>
              <w:ind w:firstLine="0"/>
              <w:jc w:val="left"/>
            </w:pPr>
            <w:r>
              <w:rPr>
                <w:rFonts w:ascii="Times New Roman" w:hAnsi="Times New Roman"/>
                <w:sz w:val="17"/>
              </w:rPr>
              <w:t xml:space="preserve">791 (23 engineered + 768 DistilBERT)</w:t>
            </w:r>
          </w:p>
        </w:tc>
      </w:tr>
      <w:tr>
        <w:trPr>
          <w:cantSplit/>
          <w:jc w:val="center"/>
        </w:trPr>
        <w:tc>
          <w:tcPr>
            <w:tcW w:w="2400" w:type="dxa"/>
            <w:vAlign w:val="center"/>
          </w:tcPr>
          <w:p>
            <w:pPr>
              <w:keepNext/>
              <w:spacing w:before="20" w:after="20"/>
              <w:ind w:firstLine="0"/>
              <w:jc w:val="left"/>
            </w:pPr>
            <w:r>
              <w:rPr>
                <w:rFonts w:ascii="Times New Roman" w:hAnsi="Times New Roman"/>
                <w:sz w:val="17"/>
              </w:rPr>
              <w:t xml:space="preserve">Random seed</w:t>
            </w:r>
          </w:p>
        </w:tc>
        <w:tc>
          <w:tcPr>
            <w:tcW w:w="4400" w:type="dxa"/>
            <w:vAlign w:val="center"/>
          </w:tcPr>
          <w:p>
            <w:pPr>
              <w:keepNext/>
              <w:spacing w:before="20" w:after="20"/>
              <w:ind w:firstLine="0"/>
              <w:jc w:val="left"/>
            </w:pPr>
            <w:r>
              <w:rPr>
                <w:rFonts w:ascii="Times New Roman" w:hAnsi="Times New Roman"/>
                <w:sz w:val="17"/>
              </w:rPr>
              <w:t xml:space="preserve">42</w:t>
            </w:r>
          </w:p>
        </w:tc>
      </w:tr>
    </w:tbl>
    <w:p>
      <w:pPr>
        <w:pStyle w:val="74"/>
        <w:jc w:val="center"/>
      </w:pPr>
      <w:r>
        <w:rPr>
          <w:rFonts w:ascii="Times New Roman" w:hAnsi="Times New Roman"/>
          <w:i/>
          <w:sz w:val="20"/>
        </w:rPr>
        <w:t xml:space="preserve">Table 3: Experimental setup and system requirements.</w:t>
      </w:r>
    </w:p>
    <w:p>
      <w:pPr>
        <w:ind w:firstLine="340"/>
      </w:pPr>
      <w:r>
        <w:rPr>
          <w:rFonts w:ascii="Times New Roman" w:hAnsi="Times New Roman"/>
          <w:sz w:val="20"/>
        </w:rPr>
        <w:t xml:space="preserve">The CompPhish evaluation is kept completely separate from training, and the D1 model is not retrained on it. Scikit-learn [Pedregosa et al. 2011] provides the data splitting and metric implementations.</w:t>
      </w:r>
    </w:p>
    <w:p>
      <w:pPr>
        <w:pStyle w:val="3"/>
        <w:ind w:firstLine="0"/>
        <w:jc w:val="left"/>
      </w:pPr>
      <w:r>
        <w:rPr>
          <w:rFonts w:ascii="Times New Roman" w:hAnsi="Times New Roman"/>
          <w:b/>
          <w:sz w:val="20"/>
        </w:rPr>
        <w:t xml:space="preserve">4.2  Hyperparameter Configuration</w:t>
      </w:r>
    </w:p>
    <w:p>
      <w:pPr>
        <w:ind w:firstLine="0"/>
      </w:pPr>
      <w:r>
        <w:rPr>
          <w:rFonts w:ascii="Times New Roman" w:hAnsi="Times New Roman"/>
          <w:sz w:val="20"/>
        </w:rPr>
        <w:t xml:space="preserve">Table 4 lists the settings used for the proposed model and the controlled baselines.</w:t>
      </w:r>
    </w:p>
    <w:tbl>
      <w:tblPr>
        <w:tblStyle w:val="29"/>
        <w:tblW w:w="680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2000"/>
        <w:gridCol w:w="4800"/>
      </w:tblGrid>
      <w:tr>
        <w:trPr>
          <w:cantSplit/>
          <w:tblHeader/>
          <w:jc w:val="center"/>
        </w:trPr>
        <w:tc>
          <w:tcPr>
            <w:tcW w:w="2000" w:type="dxa"/>
            <w:tcBorders>
              <w:bottom w:val="single" w:color="000000" w:sz="4" w:space="0"/>
            </w:tcBorders>
            <w:vAlign w:val="center"/>
          </w:tcPr>
          <w:p>
            <w:pPr>
              <w:spacing w:before="20" w:after="20"/>
              <w:ind w:firstLine="0"/>
              <w:jc w:val="left"/>
            </w:pPr>
            <w:r>
              <w:rPr>
                <w:rFonts w:ascii="Times New Roman" w:hAnsi="Times New Roman"/>
                <w:b/>
                <w:sz w:val="17"/>
              </w:rPr>
              <w:t xml:space="preserve">Component</w:t>
            </w:r>
          </w:p>
        </w:tc>
        <w:tc>
          <w:tcPr>
            <w:tcW w:w="4800" w:type="dxa"/>
            <w:tcBorders>
              <w:bottom w:val="single" w:color="000000" w:sz="4" w:space="0"/>
            </w:tcBorders>
            <w:vAlign w:val="center"/>
          </w:tcPr>
          <w:p>
            <w:pPr>
              <w:spacing w:before="20" w:after="20"/>
              <w:ind w:firstLine="0"/>
              <w:jc w:val="center"/>
            </w:pPr>
            <w:r>
              <w:rPr>
                <w:rFonts w:ascii="Times New Roman" w:hAnsi="Times New Roman"/>
                <w:b/>
                <w:sz w:val="17"/>
              </w:rPr>
              <w:t xml:space="preserve">Setting</w:t>
            </w:r>
          </w:p>
        </w:tc>
      </w:tr>
      <w:tr>
        <w:trPr>
          <w:cantSplit/>
          <w:jc w:val="center"/>
        </w:trPr>
        <w:tc>
          <w:tcPr>
            <w:tcW w:w="2000" w:type="dxa"/>
            <w:vAlign w:val="center"/>
          </w:tcPr>
          <w:p>
            <w:pPr>
              <w:keepNext/>
              <w:spacing w:before="20" w:after="20"/>
              <w:ind w:firstLine="0"/>
              <w:jc w:val="left"/>
            </w:pPr>
            <w:r>
              <w:rPr>
                <w:rFonts w:ascii="Times New Roman" w:hAnsi="Times New Roman"/>
                <w:sz w:val="17"/>
              </w:rPr>
              <w:t xml:space="preserve">LightGBM (proposed)</w:t>
            </w:r>
          </w:p>
        </w:tc>
        <w:tc>
          <w:tcPr>
            <w:tcW w:w="4800" w:type="dxa"/>
            <w:vAlign w:val="center"/>
          </w:tcPr>
          <w:p>
            <w:pPr>
              <w:keepNext/>
              <w:spacing w:before="20" w:after="20"/>
              <w:ind w:firstLine="0"/>
              <w:jc w:val="left"/>
            </w:pPr>
            <w:r>
              <w:rPr>
                <w:rFonts w:ascii="Times New Roman" w:hAnsi="Times New Roman"/>
                <w:sz w:val="17"/>
              </w:rPr>
              <w:t xml:space="preserve">300 estimators; learning rate 0.05; 31 leaves; random_state 42</w:t>
            </w:r>
          </w:p>
        </w:tc>
      </w:tr>
      <w:tr>
        <w:trPr>
          <w:cantSplit/>
          <w:jc w:val="center"/>
        </w:trPr>
        <w:tc>
          <w:tcPr>
            <w:tcW w:w="2000" w:type="dxa"/>
            <w:vAlign w:val="center"/>
          </w:tcPr>
          <w:p>
            <w:pPr>
              <w:keepNext/>
              <w:spacing w:before="20" w:after="20"/>
              <w:ind w:firstLine="0"/>
              <w:jc w:val="left"/>
            </w:pPr>
            <w:r>
              <w:rPr>
                <w:rFonts w:ascii="Times New Roman" w:hAnsi="Times New Roman"/>
                <w:sz w:val="17"/>
              </w:rPr>
              <w:t xml:space="preserve">DistilBERT encoder</w:t>
            </w:r>
          </w:p>
        </w:tc>
        <w:tc>
          <w:tcPr>
            <w:tcW w:w="4800" w:type="dxa"/>
            <w:vAlign w:val="center"/>
          </w:tcPr>
          <w:p>
            <w:pPr>
              <w:keepNext/>
              <w:spacing w:before="20" w:after="20"/>
              <w:ind w:firstLine="0"/>
              <w:jc w:val="left"/>
            </w:pPr>
            <w:r>
              <w:rPr>
                <w:rFonts w:ascii="Times New Roman" w:hAnsi="Times New Roman"/>
                <w:sz w:val="17"/>
              </w:rPr>
              <w:t xml:space="preserve">distilbert-base-uncased; first 512 characters supplied to tokenizer; first-token representation; frozen</w:t>
            </w:r>
          </w:p>
        </w:tc>
      </w:tr>
      <w:tr>
        <w:trPr>
          <w:cantSplit/>
          <w:jc w:val="center"/>
        </w:trPr>
        <w:tc>
          <w:tcPr>
            <w:tcW w:w="2000" w:type="dxa"/>
            <w:vAlign w:val="center"/>
          </w:tcPr>
          <w:p>
            <w:pPr>
              <w:keepNext/>
              <w:spacing w:before="20" w:after="20"/>
              <w:ind w:firstLine="0"/>
              <w:jc w:val="left"/>
            </w:pPr>
            <w:r>
              <w:rPr>
                <w:rFonts w:ascii="Times New Roman" w:hAnsi="Times New Roman"/>
                <w:sz w:val="17"/>
              </w:rPr>
              <w:t xml:space="preserve">Random Forest</w:t>
            </w:r>
          </w:p>
        </w:tc>
        <w:tc>
          <w:tcPr>
            <w:tcW w:w="4800" w:type="dxa"/>
            <w:vAlign w:val="center"/>
          </w:tcPr>
          <w:p>
            <w:pPr>
              <w:keepNext/>
              <w:spacing w:before="20" w:after="20"/>
              <w:ind w:firstLine="0"/>
              <w:jc w:val="left"/>
            </w:pPr>
            <w:r>
              <w:rPr>
                <w:rFonts w:ascii="Times New Roman" w:hAnsi="Times New Roman"/>
                <w:sz w:val="17"/>
              </w:rPr>
              <w:t xml:space="preserve">100 trees; random_state 42; n_jobs = −1</w:t>
            </w:r>
          </w:p>
        </w:tc>
      </w:tr>
      <w:tr>
        <w:trPr>
          <w:cantSplit/>
          <w:jc w:val="center"/>
        </w:trPr>
        <w:tc>
          <w:tcPr>
            <w:tcW w:w="2000" w:type="dxa"/>
            <w:vAlign w:val="center"/>
          </w:tcPr>
          <w:p>
            <w:pPr>
              <w:keepNext/>
              <w:spacing w:before="20" w:after="20"/>
              <w:ind w:firstLine="0"/>
              <w:jc w:val="left"/>
            </w:pPr>
            <w:r>
              <w:rPr>
                <w:rFonts w:ascii="Times New Roman" w:hAnsi="Times New Roman"/>
                <w:sz w:val="17"/>
              </w:rPr>
              <w:t xml:space="preserve">XGBoost</w:t>
            </w:r>
          </w:p>
        </w:tc>
        <w:tc>
          <w:tcPr>
            <w:tcW w:w="4800" w:type="dxa"/>
            <w:vAlign w:val="center"/>
          </w:tcPr>
          <w:p>
            <w:pPr>
              <w:keepNext/>
              <w:spacing w:before="20" w:after="20"/>
              <w:ind w:firstLine="0"/>
              <w:jc w:val="left"/>
            </w:pPr>
            <w:r>
              <w:rPr>
                <w:rFonts w:ascii="Times New Roman" w:hAnsi="Times New Roman"/>
                <w:sz w:val="17"/>
              </w:rPr>
              <w:t xml:space="preserve">300 estimators; learning rate 0.05; max_depth 6; random_state 42</w:t>
            </w:r>
          </w:p>
        </w:tc>
      </w:tr>
      <w:tr>
        <w:trPr>
          <w:cantSplit/>
          <w:jc w:val="center"/>
        </w:trPr>
        <w:tc>
          <w:tcPr>
            <w:tcW w:w="2000" w:type="dxa"/>
            <w:vAlign w:val="center"/>
          </w:tcPr>
          <w:p>
            <w:pPr>
              <w:keepNext/>
              <w:spacing w:before="20" w:after="20"/>
              <w:ind w:firstLine="0"/>
              <w:jc w:val="left"/>
            </w:pPr>
            <w:r>
              <w:rPr>
                <w:rFonts w:ascii="Times New Roman" w:hAnsi="Times New Roman"/>
                <w:sz w:val="17"/>
              </w:rPr>
              <w:t xml:space="preserve">CatBoost</w:t>
            </w:r>
          </w:p>
        </w:tc>
        <w:tc>
          <w:tcPr>
            <w:tcW w:w="4800" w:type="dxa"/>
            <w:vAlign w:val="center"/>
          </w:tcPr>
          <w:p>
            <w:pPr>
              <w:keepNext/>
              <w:spacing w:before="20" w:after="20"/>
              <w:ind w:firstLine="0"/>
              <w:jc w:val="left"/>
            </w:pPr>
            <w:r>
              <w:rPr>
                <w:rFonts w:ascii="Times New Roman" w:hAnsi="Times New Roman"/>
                <w:sz w:val="17"/>
              </w:rPr>
              <w:t xml:space="preserve">300 iterations; learning rate 0.05; depth 6; random_seed 42</w:t>
            </w:r>
          </w:p>
        </w:tc>
      </w:tr>
      <w:tr>
        <w:trPr>
          <w:cantSplit/>
          <w:jc w:val="center"/>
        </w:trPr>
        <w:tc>
          <w:tcPr>
            <w:tcW w:w="2000" w:type="dxa"/>
            <w:vAlign w:val="center"/>
          </w:tcPr>
          <w:p>
            <w:pPr>
              <w:keepNext/>
              <w:spacing w:before="20" w:after="20"/>
              <w:ind w:firstLine="0"/>
              <w:jc w:val="left"/>
            </w:pPr>
            <w:r>
              <w:rPr>
                <w:rFonts w:ascii="Times New Roman" w:hAnsi="Times New Roman"/>
                <w:sz w:val="17"/>
              </w:rPr>
              <w:t xml:space="preserve">Controlled split</w:t>
            </w:r>
          </w:p>
        </w:tc>
        <w:tc>
          <w:tcPr>
            <w:tcW w:w="4800" w:type="dxa"/>
            <w:vAlign w:val="center"/>
          </w:tcPr>
          <w:p>
            <w:pPr>
              <w:keepNext/>
              <w:spacing w:before="20" w:after="20"/>
              <w:ind w:firstLine="0"/>
              <w:jc w:val="left"/>
            </w:pPr>
            <w:r>
              <w:rPr>
                <w:rFonts w:ascii="Times New Roman" w:hAnsi="Times New Roman"/>
                <w:sz w:val="17"/>
              </w:rPr>
              <w:t xml:space="preserve">80:20 stratified; random_state 42; 4,000 train / 1,000 test</w:t>
            </w:r>
          </w:p>
        </w:tc>
      </w:tr>
    </w:tbl>
    <w:p>
      <w:pPr>
        <w:pStyle w:val="74"/>
        <w:jc w:val="center"/>
      </w:pPr>
      <w:r>
        <w:rPr>
          <w:rFonts w:ascii="Times New Roman" w:hAnsi="Times New Roman"/>
          <w:i/>
          <w:sz w:val="20"/>
        </w:rPr>
        <w:t xml:space="preserve">Table 4: Hyperparameter configuration of the proposed model and the baselines.</w:t>
      </w:r>
    </w:p>
    <w:p>
      <w:pPr>
        <w:pStyle w:val="3"/>
        <w:ind w:firstLine="0"/>
        <w:jc w:val="left"/>
      </w:pPr>
      <w:r>
        <w:rPr>
          <w:rFonts w:ascii="Times New Roman" w:hAnsi="Times New Roman"/>
          <w:b/>
          <w:sz w:val="20"/>
        </w:rPr>
        <w:t xml:space="preserve">4.3  Validation Protocol and Statistical Testing</w:t>
      </w:r>
    </w:p>
    <w:p>
      <w:pPr>
        <w:ind w:firstLine="0"/>
      </w:pPr>
      <w:r>
        <w:rPr>
          <w:rFonts w:ascii="Times New Roman" w:hAnsi="Times New Roman"/>
          <w:sz w:val="20"/>
        </w:rPr>
        <w:t xml:space="preserve">Formal k-fold cross-validation was not performed, so the headline results are single-split estimates on the fixed 1,000-page test set. To quantify uncertainty without changing the split, we drew 2,000 bootstrap resamples of the test set and used them to calculate 95% confidence intervals for the principal metrics. No paired significance test is claimed; the bootstrap confidence intervals are reported as uncertainty intervals around each model’s test-set metrics; they are not presented as formal significance tests between models.</w:t>
      </w:r>
    </w:p>
    <w:p>
      <w:pPr>
        <w:pStyle w:val="2"/>
        <w:ind w:firstLine="0"/>
        <w:jc w:val="left"/>
      </w:pPr>
      <w:r>
        <w:rPr>
          <w:rFonts w:ascii="Times New Roman" w:hAnsi="Times New Roman"/>
          <w:b/>
          <w:sz w:val="24"/>
        </w:rPr>
        <w:t xml:space="preserve">5  Results</w:t>
      </w:r>
    </w:p>
    <w:p>
      <w:pPr>
        <w:pStyle w:val="3"/>
        <w:ind w:firstLine="0"/>
        <w:jc w:val="left"/>
      </w:pPr>
      <w:r>
        <w:rPr>
          <w:rFonts w:ascii="Times New Roman" w:hAnsi="Times New Roman"/>
          <w:b/>
          <w:sz w:val="20"/>
        </w:rPr>
        <w:t xml:space="preserve">5.1  Overall Performance</w:t>
      </w:r>
    </w:p>
    <w:p>
      <w:pPr>
        <w:ind w:firstLine="0"/>
      </w:pPr>
      <w:r>
        <w:rPr>
          <w:rFonts w:ascii="Times New Roman" w:hAnsi="Times New Roman"/>
          <w:sz w:val="20"/>
        </w:rPr>
        <w:t xml:space="preserve">Table 5 reports the controlled D1 results on the 1,000-page test set, where PhishXpert Hybrid reaches 88.30% accuracy and 95.54% ROC-AUC. These figures come from the balanced 5,000-page experiment and should not be read as performance on the full 60,252-page source dataset.</w:t>
      </w:r>
    </w:p>
    <w:tbl>
      <w:tblPr>
        <w:tblStyle w:val="29"/>
        <w:tblW w:w="6909"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1507"/>
        <w:gridCol w:w="505"/>
        <w:gridCol w:w="505"/>
        <w:gridCol w:w="525"/>
        <w:gridCol w:w="505"/>
        <w:gridCol w:w="583"/>
        <w:gridCol w:w="583"/>
        <w:gridCol w:w="544"/>
        <w:gridCol w:w="505"/>
        <w:gridCol w:w="544"/>
        <w:gridCol w:w="603"/>
      </w:tblGrid>
      <w:tr>
        <w:trPr>
          <w:cantSplit/>
          <w:tblHeader/>
          <w:jc w:val="center"/>
        </w:trPr>
        <w:tc>
          <w:tcPr>
            <w:tcW w:w="1507" w:type="dxa"/>
            <w:tcBorders>
              <w:bottom w:val="single" w:color="000000" w:sz="4" w:space="0"/>
            </w:tcBorders>
            <w:vAlign w:val="center"/>
          </w:tcPr>
          <w:p>
            <w:pPr>
              <w:spacing w:before="20" w:after="20"/>
              <w:ind w:firstLine="0"/>
              <w:jc w:val="left"/>
            </w:pPr>
            <w:r>
              <w:rPr>
                <w:rFonts w:ascii="Times New Roman" w:hAnsi="Times New Roman"/>
                <w:b/>
                <w:sz w:val="14"/>
              </w:rPr>
              <w:t xml:space="preserve">Model</w:t>
            </w:r>
          </w:p>
        </w:tc>
        <w:tc>
          <w:tcPr>
            <w:tcW w:w="505" w:type="dxa"/>
            <w:tcBorders>
              <w:bottom w:val="single" w:color="000000" w:sz="4" w:space="0"/>
            </w:tcBorders>
            <w:vAlign w:val="center"/>
          </w:tcPr>
          <w:p>
            <w:pPr>
              <w:spacing w:before="20" w:after="20"/>
              <w:ind w:firstLine="0"/>
              <w:jc w:val="center"/>
            </w:pPr>
            <w:r>
              <w:rPr>
                <w:rFonts w:ascii="Times New Roman" w:hAnsi="Times New Roman"/>
                <w:b/>
                <w:sz w:val="14"/>
              </w:rPr>
              <w:t xml:space="preserve">Acc.</w:t>
            </w:r>
          </w:p>
        </w:tc>
        <w:tc>
          <w:tcPr>
            <w:tcW w:w="505" w:type="dxa"/>
            <w:tcBorders>
              <w:bottom w:val="single" w:color="000000" w:sz="4" w:space="0"/>
            </w:tcBorders>
            <w:vAlign w:val="center"/>
          </w:tcPr>
          <w:p>
            <w:pPr>
              <w:spacing w:before="20" w:after="20"/>
              <w:ind w:firstLine="0"/>
              <w:jc w:val="center"/>
            </w:pPr>
            <w:r>
              <w:rPr>
                <w:rFonts w:ascii="Times New Roman" w:hAnsi="Times New Roman"/>
                <w:b/>
                <w:sz w:val="14"/>
              </w:rPr>
              <w:t xml:space="preserve">Prec.</w:t>
            </w:r>
          </w:p>
        </w:tc>
        <w:tc>
          <w:tcPr>
            <w:tcW w:w="525" w:type="dxa"/>
            <w:tcBorders>
              <w:bottom w:val="single" w:color="000000" w:sz="4" w:space="0"/>
            </w:tcBorders>
            <w:vAlign w:val="center"/>
          </w:tcPr>
          <w:p>
            <w:pPr>
              <w:spacing w:before="20" w:after="20"/>
              <w:ind w:firstLine="0"/>
              <w:jc w:val="center"/>
            </w:pPr>
            <w:r>
              <w:rPr>
                <w:rFonts w:ascii="Times New Roman" w:hAnsi="Times New Roman"/>
                <w:b/>
                <w:sz w:val="14"/>
              </w:rPr>
              <w:t xml:space="preserve">Recall</w:t>
            </w:r>
          </w:p>
        </w:tc>
        <w:tc>
          <w:tcPr>
            <w:tcW w:w="505" w:type="dxa"/>
            <w:tcBorders>
              <w:bottom w:val="single" w:color="000000" w:sz="4" w:space="0"/>
            </w:tcBorders>
            <w:vAlign w:val="center"/>
          </w:tcPr>
          <w:p>
            <w:pPr>
              <w:spacing w:before="20" w:after="20"/>
              <w:ind w:firstLine="0"/>
              <w:jc w:val="center"/>
            </w:pPr>
            <w:r>
              <w:rPr>
                <w:rFonts w:ascii="Times New Roman" w:hAnsi="Times New Roman"/>
                <w:b/>
                <w:sz w:val="14"/>
              </w:rPr>
              <w:t xml:space="preserve">F1</w:t>
            </w:r>
          </w:p>
        </w:tc>
        <w:tc>
          <w:tcPr>
            <w:tcW w:w="583" w:type="dxa"/>
            <w:tcBorders>
              <w:bottom w:val="single" w:color="000000" w:sz="4" w:space="0"/>
            </w:tcBorders>
            <w:vAlign w:val="center"/>
          </w:tcPr>
          <w:p>
            <w:pPr>
              <w:spacing w:before="20" w:after="20"/>
              <w:ind w:firstLine="0"/>
              <w:jc w:val="center"/>
            </w:pPr>
            <w:r>
              <w:rPr>
                <w:rFonts w:ascii="Times New Roman" w:hAnsi="Times New Roman"/>
                <w:b/>
                <w:sz w:val="14"/>
              </w:rPr>
              <w:t xml:space="preserve">ROC-AUC</w:t>
            </w:r>
          </w:p>
        </w:tc>
        <w:tc>
          <w:tcPr>
            <w:tcW w:w="583" w:type="dxa"/>
            <w:tcBorders>
              <w:bottom w:val="single" w:color="000000" w:sz="4" w:space="0"/>
            </w:tcBorders>
            <w:vAlign w:val="center"/>
          </w:tcPr>
          <w:p>
            <w:pPr>
              <w:spacing w:before="20" w:after="20"/>
              <w:ind w:firstLine="0"/>
              <w:jc w:val="center"/>
            </w:pPr>
            <w:r>
              <w:rPr>
                <w:rFonts w:ascii="Times New Roman" w:hAnsi="Times New Roman"/>
                <w:b/>
                <w:sz w:val="14"/>
              </w:rPr>
              <w:t xml:space="preserve">PR-AUC</w:t>
            </w:r>
          </w:p>
        </w:tc>
        <w:tc>
          <w:tcPr>
            <w:tcW w:w="544" w:type="dxa"/>
            <w:tcBorders>
              <w:bottom w:val="single" w:color="000000" w:sz="4" w:space="0"/>
            </w:tcBorders>
            <w:vAlign w:val="center"/>
          </w:tcPr>
          <w:p>
            <w:pPr>
              <w:spacing w:before="20" w:after="20"/>
              <w:ind w:firstLine="0"/>
              <w:jc w:val="center"/>
            </w:pPr>
            <w:r>
              <w:rPr>
                <w:rFonts w:ascii="Times New Roman" w:hAnsi="Times New Roman"/>
                <w:b/>
                <w:sz w:val="14"/>
              </w:rPr>
              <w:t xml:space="preserve">MCC</w:t>
            </w:r>
          </w:p>
        </w:tc>
        <w:tc>
          <w:tcPr>
            <w:tcW w:w="505" w:type="dxa"/>
            <w:tcBorders>
              <w:bottom w:val="single" w:color="000000" w:sz="4" w:space="0"/>
            </w:tcBorders>
            <w:vAlign w:val="center"/>
          </w:tcPr>
          <w:p>
            <w:pPr>
              <w:spacing w:before="20" w:after="20"/>
              <w:ind w:firstLine="0"/>
              <w:jc w:val="center"/>
            </w:pPr>
            <w:r>
              <w:rPr>
                <w:rFonts w:ascii="Times New Roman" w:hAnsi="Times New Roman"/>
                <w:b/>
                <w:sz w:val="14"/>
              </w:rPr>
              <w:t xml:space="preserve">Spec.</w:t>
            </w:r>
          </w:p>
        </w:tc>
        <w:tc>
          <w:tcPr>
            <w:tcW w:w="544" w:type="dxa"/>
            <w:tcBorders>
              <w:bottom w:val="single" w:color="000000" w:sz="4" w:space="0"/>
            </w:tcBorders>
            <w:vAlign w:val="center"/>
          </w:tcPr>
          <w:p>
            <w:pPr>
              <w:spacing w:before="20" w:after="20"/>
              <w:ind w:firstLine="0"/>
              <w:jc w:val="center"/>
            </w:pPr>
            <w:r>
              <w:rPr>
                <w:rFonts w:ascii="Times New Roman" w:hAnsi="Times New Roman"/>
                <w:b/>
                <w:sz w:val="14"/>
              </w:rPr>
              <w:t xml:space="preserve">Kappa</w:t>
            </w:r>
          </w:p>
        </w:tc>
        <w:tc>
          <w:tcPr>
            <w:tcW w:w="603" w:type="dxa"/>
            <w:tcBorders>
              <w:bottom w:val="single" w:color="000000" w:sz="4" w:space="0"/>
            </w:tcBorders>
            <w:vAlign w:val="center"/>
          </w:tcPr>
          <w:p>
            <w:pPr>
              <w:spacing w:before="20" w:after="20"/>
              <w:ind w:firstLine="0"/>
              <w:jc w:val="center"/>
            </w:pPr>
            <w:r>
              <w:rPr>
                <w:rFonts w:ascii="Times New Roman" w:hAnsi="Times New Roman"/>
                <w:b/>
                <w:sz w:val="14"/>
              </w:rPr>
              <w:t xml:space="preserve">Log loss</w:t>
            </w:r>
          </w:p>
        </w:tc>
      </w:tr>
      <w:tr>
        <w:trPr>
          <w:cantSplit/>
          <w:jc w:val="center"/>
        </w:trPr>
        <w:tc>
          <w:tcPr>
            <w:tcW w:w="1507" w:type="dxa"/>
            <w:vAlign w:val="center"/>
          </w:tcPr>
          <w:p>
            <w:pPr>
              <w:keepNext/>
              <w:spacing w:before="20" w:after="20"/>
              <w:ind w:firstLine="0"/>
              <w:jc w:val="left"/>
            </w:pPr>
            <w:r>
              <w:rPr>
                <w:rFonts w:ascii="Times New Roman" w:hAnsi="Times New Roman"/>
                <w:b/>
                <w:sz w:val="14"/>
              </w:rPr>
              <w:t xml:space="preserve">PhishXpert Hybrid (proposed)</w:t>
            </w:r>
          </w:p>
        </w:tc>
        <w:tc>
          <w:tcPr>
            <w:tcW w:w="505" w:type="dxa"/>
            <w:vAlign w:val="center"/>
          </w:tcPr>
          <w:p>
            <w:pPr>
              <w:keepNext/>
              <w:spacing w:before="20" w:after="20"/>
              <w:ind w:firstLine="0"/>
              <w:jc w:val="center"/>
            </w:pPr>
            <w:r>
              <w:rPr>
                <w:rFonts w:ascii="Times New Roman" w:hAnsi="Times New Roman"/>
                <w:b/>
                <w:sz w:val="14"/>
              </w:rPr>
              <w:t xml:space="preserve">88.30</w:t>
            </w:r>
          </w:p>
        </w:tc>
        <w:tc>
          <w:tcPr>
            <w:tcW w:w="505" w:type="dxa"/>
            <w:vAlign w:val="center"/>
          </w:tcPr>
          <w:p>
            <w:pPr>
              <w:keepNext/>
              <w:spacing w:before="20" w:after="20"/>
              <w:ind w:firstLine="0"/>
              <w:jc w:val="center"/>
            </w:pPr>
            <w:r>
              <w:rPr>
                <w:rFonts w:ascii="Times New Roman" w:hAnsi="Times New Roman"/>
                <w:b/>
                <w:sz w:val="14"/>
              </w:rPr>
              <w:t xml:space="preserve">86.90</w:t>
            </w:r>
          </w:p>
        </w:tc>
        <w:tc>
          <w:tcPr>
            <w:tcW w:w="525" w:type="dxa"/>
            <w:vAlign w:val="center"/>
          </w:tcPr>
          <w:p>
            <w:pPr>
              <w:keepNext/>
              <w:spacing w:before="20" w:after="20"/>
              <w:ind w:firstLine="0"/>
              <w:jc w:val="center"/>
            </w:pPr>
            <w:r>
              <w:rPr>
                <w:rFonts w:ascii="Times New Roman" w:hAnsi="Times New Roman"/>
                <w:b/>
                <w:sz w:val="14"/>
              </w:rPr>
              <w:t xml:space="preserve">90.20</w:t>
            </w:r>
          </w:p>
        </w:tc>
        <w:tc>
          <w:tcPr>
            <w:tcW w:w="505" w:type="dxa"/>
            <w:vAlign w:val="center"/>
          </w:tcPr>
          <w:p>
            <w:pPr>
              <w:keepNext/>
              <w:spacing w:before="20" w:after="20"/>
              <w:ind w:firstLine="0"/>
              <w:jc w:val="center"/>
            </w:pPr>
            <w:r>
              <w:rPr>
                <w:rFonts w:ascii="Times New Roman" w:hAnsi="Times New Roman"/>
                <w:b/>
                <w:sz w:val="14"/>
              </w:rPr>
              <w:t xml:space="preserve">88.52</w:t>
            </w:r>
          </w:p>
        </w:tc>
        <w:tc>
          <w:tcPr>
            <w:tcW w:w="583" w:type="dxa"/>
            <w:vAlign w:val="center"/>
          </w:tcPr>
          <w:p>
            <w:pPr>
              <w:keepNext/>
              <w:spacing w:before="20" w:after="20"/>
              <w:ind w:firstLine="0"/>
              <w:jc w:val="center"/>
            </w:pPr>
            <w:r>
              <w:rPr>
                <w:rFonts w:ascii="Times New Roman" w:hAnsi="Times New Roman"/>
                <w:b/>
                <w:sz w:val="14"/>
              </w:rPr>
              <w:t xml:space="preserve">95.54</w:t>
            </w:r>
          </w:p>
        </w:tc>
        <w:tc>
          <w:tcPr>
            <w:tcW w:w="583" w:type="dxa"/>
            <w:vAlign w:val="center"/>
          </w:tcPr>
          <w:p>
            <w:pPr>
              <w:keepNext/>
              <w:spacing w:before="20" w:after="20"/>
              <w:ind w:firstLine="0"/>
              <w:jc w:val="center"/>
            </w:pPr>
            <w:r>
              <w:rPr>
                <w:rFonts w:ascii="Times New Roman" w:hAnsi="Times New Roman"/>
                <w:b/>
                <w:sz w:val="14"/>
              </w:rPr>
              <w:t xml:space="preserve">96.07</w:t>
            </w:r>
          </w:p>
        </w:tc>
        <w:tc>
          <w:tcPr>
            <w:tcW w:w="544" w:type="dxa"/>
            <w:vAlign w:val="center"/>
          </w:tcPr>
          <w:p>
            <w:pPr>
              <w:keepNext/>
              <w:spacing w:before="20" w:after="20"/>
              <w:ind w:firstLine="0"/>
              <w:jc w:val="center"/>
            </w:pPr>
            <w:r>
              <w:rPr>
                <w:rFonts w:ascii="Times New Roman" w:hAnsi="Times New Roman"/>
                <w:b/>
                <w:sz w:val="14"/>
              </w:rPr>
              <w:t xml:space="preserve">0.7666</w:t>
            </w:r>
          </w:p>
        </w:tc>
        <w:tc>
          <w:tcPr>
            <w:tcW w:w="505" w:type="dxa"/>
            <w:vAlign w:val="center"/>
          </w:tcPr>
          <w:p>
            <w:pPr>
              <w:keepNext/>
              <w:spacing w:before="20" w:after="20"/>
              <w:ind w:firstLine="0"/>
              <w:jc w:val="center"/>
            </w:pPr>
            <w:r>
              <w:rPr>
                <w:rFonts w:ascii="Times New Roman" w:hAnsi="Times New Roman"/>
                <w:b/>
                <w:sz w:val="14"/>
              </w:rPr>
              <w:t xml:space="preserve">86.40</w:t>
            </w:r>
          </w:p>
        </w:tc>
        <w:tc>
          <w:tcPr>
            <w:tcW w:w="544" w:type="dxa"/>
            <w:vAlign w:val="center"/>
          </w:tcPr>
          <w:p>
            <w:pPr>
              <w:keepNext/>
              <w:spacing w:before="20" w:after="20"/>
              <w:ind w:firstLine="0"/>
              <w:jc w:val="center"/>
            </w:pPr>
            <w:r>
              <w:rPr>
                <w:rFonts w:ascii="Times New Roman" w:hAnsi="Times New Roman"/>
                <w:b/>
                <w:sz w:val="14"/>
              </w:rPr>
              <w:t xml:space="preserve">0.7660</w:t>
            </w:r>
          </w:p>
        </w:tc>
        <w:tc>
          <w:tcPr>
            <w:tcW w:w="603" w:type="dxa"/>
            <w:vAlign w:val="center"/>
          </w:tcPr>
          <w:p>
            <w:pPr>
              <w:keepNext/>
              <w:spacing w:before="20" w:after="20"/>
              <w:ind w:firstLine="0"/>
              <w:jc w:val="center"/>
            </w:pPr>
            <w:r>
              <w:rPr>
                <w:rFonts w:ascii="Times New Roman" w:hAnsi="Times New Roman"/>
                <w:b/>
                <w:sz w:val="14"/>
              </w:rPr>
              <w:t xml:space="preserve">0.2900</w:t>
            </w:r>
          </w:p>
        </w:tc>
      </w:tr>
      <w:tr>
        <w:trPr>
          <w:cantSplit/>
          <w:jc w:val="center"/>
        </w:trPr>
        <w:tc>
          <w:tcPr>
            <w:tcW w:w="1507" w:type="dxa"/>
            <w:vAlign w:val="center"/>
          </w:tcPr>
          <w:p>
            <w:pPr>
              <w:keepNext/>
              <w:spacing w:before="20" w:after="20"/>
              <w:ind w:firstLine="0"/>
              <w:jc w:val="left"/>
            </w:pPr>
            <w:r>
              <w:rPr>
                <w:rFonts w:ascii="Times New Roman" w:hAnsi="Times New Roman"/>
                <w:sz w:val="14"/>
              </w:rPr>
              <w:t xml:space="preserve">PhishXpert-NN (historical prototype)</w:t>
            </w:r>
          </w:p>
        </w:tc>
        <w:tc>
          <w:tcPr>
            <w:tcW w:w="505" w:type="dxa"/>
            <w:vAlign w:val="center"/>
          </w:tcPr>
          <w:p>
            <w:pPr>
              <w:keepNext/>
              <w:spacing w:before="20" w:after="20"/>
              <w:ind w:firstLine="0"/>
              <w:jc w:val="center"/>
            </w:pPr>
            <w:r>
              <w:rPr>
                <w:rFonts w:ascii="Times New Roman" w:hAnsi="Times New Roman"/>
                <w:sz w:val="14"/>
              </w:rPr>
              <w:t xml:space="preserve">87.17</w:t>
            </w:r>
          </w:p>
        </w:tc>
        <w:tc>
          <w:tcPr>
            <w:tcW w:w="505" w:type="dxa"/>
            <w:vAlign w:val="center"/>
          </w:tcPr>
          <w:p>
            <w:pPr>
              <w:keepNext/>
              <w:spacing w:before="20" w:after="20"/>
              <w:ind w:firstLine="0"/>
              <w:jc w:val="center"/>
            </w:pPr>
            <w:r>
              <w:rPr>
                <w:rFonts w:ascii="Times New Roman" w:hAnsi="Times New Roman"/>
                <w:sz w:val="14"/>
              </w:rPr>
              <w:t xml:space="preserve">85.09</w:t>
            </w:r>
          </w:p>
        </w:tc>
        <w:tc>
          <w:tcPr>
            <w:tcW w:w="525" w:type="dxa"/>
            <w:vAlign w:val="center"/>
          </w:tcPr>
          <w:p>
            <w:pPr>
              <w:keepNext/>
              <w:spacing w:before="20" w:after="20"/>
              <w:ind w:firstLine="0"/>
              <w:jc w:val="center"/>
            </w:pPr>
            <w:r>
              <w:rPr>
                <w:rFonts w:ascii="Times New Roman" w:hAnsi="Times New Roman"/>
                <w:sz w:val="14"/>
              </w:rPr>
              <w:t xml:space="preserve">87.53</w:t>
            </w:r>
          </w:p>
        </w:tc>
        <w:tc>
          <w:tcPr>
            <w:tcW w:w="505" w:type="dxa"/>
            <w:vAlign w:val="center"/>
          </w:tcPr>
          <w:p>
            <w:pPr>
              <w:keepNext/>
              <w:spacing w:before="20" w:after="20"/>
              <w:ind w:firstLine="0"/>
              <w:jc w:val="center"/>
            </w:pPr>
            <w:r>
              <w:rPr>
                <w:rFonts w:ascii="Times New Roman" w:hAnsi="Times New Roman"/>
                <w:sz w:val="14"/>
              </w:rPr>
              <w:t xml:space="preserve">86.29</w:t>
            </w:r>
          </w:p>
        </w:tc>
        <w:tc>
          <w:tcPr>
            <w:tcW w:w="583" w:type="dxa"/>
            <w:vAlign w:val="center"/>
          </w:tcPr>
          <w:p>
            <w:pPr>
              <w:keepNext/>
              <w:spacing w:before="20" w:after="20"/>
              <w:ind w:firstLine="0"/>
              <w:jc w:val="center"/>
            </w:pPr>
            <w:r>
              <w:rPr>
                <w:rFonts w:ascii="Times New Roman" w:hAnsi="Times New Roman"/>
                <w:sz w:val="14"/>
              </w:rPr>
              <w:t xml:space="preserve">95.13</w:t>
            </w:r>
          </w:p>
        </w:tc>
        <w:tc>
          <w:tcPr>
            <w:tcW w:w="583" w:type="dxa"/>
            <w:vAlign w:val="center"/>
          </w:tcPr>
          <w:p>
            <w:pPr>
              <w:keepNext/>
              <w:spacing w:before="20" w:after="20"/>
              <w:ind w:firstLine="0"/>
              <w:jc w:val="center"/>
            </w:pPr>
            <w:r>
              <w:rPr>
                <w:rFonts w:ascii="Times New Roman" w:hAnsi="Times New Roman"/>
                <w:sz w:val="14"/>
              </w:rPr>
              <w:t xml:space="preserve">94.50</w:t>
            </w:r>
          </w:p>
        </w:tc>
        <w:tc>
          <w:tcPr>
            <w:tcW w:w="544" w:type="dxa"/>
            <w:vAlign w:val="center"/>
          </w:tcPr>
          <w:p>
            <w:pPr>
              <w:keepNext/>
              <w:spacing w:before="20" w:after="20"/>
              <w:ind w:firstLine="0"/>
              <w:jc w:val="center"/>
            </w:pPr>
            <w:r>
              <w:rPr>
                <w:rFonts w:ascii="Times New Roman" w:hAnsi="Times New Roman"/>
                <w:sz w:val="14"/>
              </w:rPr>
              <w:t xml:space="preserve">—</w:t>
            </w:r>
          </w:p>
        </w:tc>
        <w:tc>
          <w:tcPr>
            <w:tcW w:w="505" w:type="dxa"/>
            <w:vAlign w:val="center"/>
          </w:tcPr>
          <w:p>
            <w:pPr>
              <w:keepNext/>
              <w:spacing w:before="20" w:after="20"/>
              <w:ind w:firstLine="0"/>
              <w:jc w:val="center"/>
            </w:pPr>
            <w:r>
              <w:rPr>
                <w:rFonts w:ascii="Times New Roman" w:hAnsi="Times New Roman"/>
                <w:sz w:val="14"/>
              </w:rPr>
              <w:t xml:space="preserve">—</w:t>
            </w:r>
          </w:p>
        </w:tc>
        <w:tc>
          <w:tcPr>
            <w:tcW w:w="544" w:type="dxa"/>
            <w:vAlign w:val="center"/>
          </w:tcPr>
          <w:p>
            <w:pPr>
              <w:keepNext/>
              <w:spacing w:before="20" w:after="20"/>
              <w:ind w:firstLine="0"/>
              <w:jc w:val="center"/>
            </w:pPr>
            <w:r>
              <w:rPr>
                <w:rFonts w:ascii="Times New Roman" w:hAnsi="Times New Roman"/>
                <w:sz w:val="14"/>
              </w:rPr>
              <w:t xml:space="preserve">—</w:t>
            </w:r>
          </w:p>
        </w:tc>
        <w:tc>
          <w:tcPr>
            <w:tcW w:w="603" w:type="dxa"/>
            <w:vAlign w:val="center"/>
          </w:tcPr>
          <w:p>
            <w:pPr>
              <w:keepNext/>
              <w:spacing w:before="20" w:after="20"/>
              <w:ind w:firstLine="0"/>
              <w:jc w:val="center"/>
            </w:pPr>
            <w:r>
              <w:rPr>
                <w:rFonts w:ascii="Times New Roman" w:hAnsi="Times New Roman"/>
                <w:sz w:val="14"/>
              </w:rPr>
              <w:t xml:space="preserve">—</w:t>
            </w:r>
          </w:p>
        </w:tc>
      </w:tr>
    </w:tbl>
    <w:p>
      <w:pPr>
        <w:pStyle w:val="74"/>
        <w:jc w:val="center"/>
      </w:pPr>
      <w:r>
        <w:rPr>
          <w:rFonts w:ascii="Times New Roman" w:hAnsi="Times New Roman"/>
          <w:i/>
          <w:sz w:val="20"/>
        </w:rPr>
        <w:t xml:space="preserve">Table 5: Overall performance on the controlled D1 test set (percentages except MCC, kappa and log loss). PhishXpert-NN values are historical prototype results from an earlier random-holdout evaluation, shown for context only; — = not recorded.</w:t>
      </w:r>
    </w:p>
    <w:p>
      <w:pPr>
        <w:pStyle w:val="3"/>
        <w:ind w:firstLine="0"/>
        <w:jc w:val="left"/>
      </w:pPr>
      <w:r>
        <w:rPr>
          <w:rFonts w:ascii="Times New Roman" w:hAnsi="Times New Roman"/>
          <w:b/>
          <w:sz w:val="20"/>
        </w:rPr>
        <w:t xml:space="preserve">5.2  Confusion Matrix</w:t>
      </w:r>
    </w:p>
    <w:tbl>
      <w:tblPr>
        <w:tblStyle w:val="29"/>
        <w:tblW w:w="680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2300"/>
        <w:gridCol w:w="2250"/>
        <w:gridCol w:w="2250"/>
      </w:tblGrid>
      <w:tr>
        <w:trPr>
          <w:cantSplit/>
          <w:tblHeader/>
          <w:jc w:val="center"/>
        </w:trPr>
        <w:tc>
          <w:tcPr>
            <w:tcW w:w="2300" w:type="dxa"/>
            <w:tcBorders>
              <w:bottom w:val="single" w:color="000000" w:sz="4" w:space="0"/>
            </w:tcBorders>
            <w:vAlign w:val="center"/>
          </w:tcPr>
          <w:p>
            <w:pPr>
              <w:spacing w:before="20" w:after="20"/>
              <w:ind w:firstLine="0"/>
              <w:jc w:val="left"/>
            </w:pPr>
          </w:p>
        </w:tc>
        <w:tc>
          <w:tcPr>
            <w:tcW w:w="2250" w:type="dxa"/>
            <w:tcBorders>
              <w:bottom w:val="single" w:color="000000" w:sz="4" w:space="0"/>
            </w:tcBorders>
            <w:vAlign w:val="center"/>
          </w:tcPr>
          <w:p>
            <w:pPr>
              <w:spacing w:before="20" w:after="20"/>
              <w:ind w:firstLine="0"/>
              <w:jc w:val="center"/>
            </w:pPr>
            <w:r>
              <w:rPr>
                <w:rFonts w:ascii="Times New Roman" w:hAnsi="Times New Roman"/>
                <w:b/>
                <w:sz w:val="17"/>
              </w:rPr>
              <w:t xml:space="preserve">Predicted benign</w:t>
            </w:r>
          </w:p>
        </w:tc>
        <w:tc>
          <w:tcPr>
            <w:tcW w:w="2250" w:type="dxa"/>
            <w:tcBorders>
              <w:bottom w:val="single" w:color="000000" w:sz="4" w:space="0"/>
            </w:tcBorders>
            <w:vAlign w:val="center"/>
          </w:tcPr>
          <w:p>
            <w:pPr>
              <w:spacing w:before="20" w:after="20"/>
              <w:ind w:firstLine="0"/>
              <w:jc w:val="center"/>
            </w:pPr>
            <w:r>
              <w:rPr>
                <w:rFonts w:ascii="Times New Roman" w:hAnsi="Times New Roman"/>
                <w:b/>
                <w:sz w:val="17"/>
              </w:rPr>
              <w:t xml:space="preserve">Predicted phishing</w:t>
            </w:r>
          </w:p>
        </w:tc>
      </w:tr>
      <w:tr>
        <w:trPr>
          <w:cantSplit/>
          <w:jc w:val="center"/>
        </w:trPr>
        <w:tc>
          <w:tcPr>
            <w:tcW w:w="2300" w:type="dxa"/>
            <w:vAlign w:val="center"/>
          </w:tcPr>
          <w:p>
            <w:pPr>
              <w:keepNext/>
              <w:spacing w:before="20" w:after="20"/>
              <w:ind w:firstLine="0"/>
              <w:jc w:val="left"/>
            </w:pPr>
            <w:r>
              <w:rPr>
                <w:rFonts w:ascii="Times New Roman" w:hAnsi="Times New Roman"/>
                <w:sz w:val="17"/>
              </w:rPr>
              <w:t xml:space="preserve">Actual benign</w:t>
            </w:r>
          </w:p>
        </w:tc>
        <w:tc>
          <w:tcPr>
            <w:tcW w:w="2250" w:type="dxa"/>
            <w:vAlign w:val="center"/>
          </w:tcPr>
          <w:p>
            <w:pPr>
              <w:keepNext/>
              <w:spacing w:before="20" w:after="20"/>
              <w:ind w:firstLine="0"/>
              <w:jc w:val="center"/>
            </w:pPr>
            <w:r>
              <w:rPr>
                <w:rFonts w:ascii="Times New Roman" w:hAnsi="Times New Roman"/>
                <w:sz w:val="17"/>
              </w:rPr>
              <w:t xml:space="preserve">TN = 432</w:t>
            </w:r>
          </w:p>
        </w:tc>
        <w:tc>
          <w:tcPr>
            <w:tcW w:w="2250" w:type="dxa"/>
            <w:vAlign w:val="center"/>
          </w:tcPr>
          <w:p>
            <w:pPr>
              <w:keepNext/>
              <w:spacing w:before="20" w:after="20"/>
              <w:ind w:firstLine="0"/>
              <w:jc w:val="center"/>
            </w:pPr>
            <w:r>
              <w:rPr>
                <w:rFonts w:ascii="Times New Roman" w:hAnsi="Times New Roman"/>
                <w:sz w:val="17"/>
              </w:rPr>
              <w:t xml:space="preserve">FP = 68</w:t>
            </w:r>
          </w:p>
        </w:tc>
      </w:tr>
      <w:tr>
        <w:trPr>
          <w:cantSplit/>
          <w:jc w:val="center"/>
        </w:trPr>
        <w:tc>
          <w:tcPr>
            <w:tcW w:w="2300" w:type="dxa"/>
            <w:vAlign w:val="center"/>
          </w:tcPr>
          <w:p>
            <w:pPr>
              <w:keepNext/>
              <w:spacing w:before="20" w:after="20"/>
              <w:ind w:firstLine="0"/>
              <w:jc w:val="left"/>
            </w:pPr>
            <w:r>
              <w:rPr>
                <w:rFonts w:ascii="Times New Roman" w:hAnsi="Times New Roman"/>
                <w:sz w:val="17"/>
              </w:rPr>
              <w:t xml:space="preserve">Actual phishing</w:t>
            </w:r>
          </w:p>
        </w:tc>
        <w:tc>
          <w:tcPr>
            <w:tcW w:w="2250" w:type="dxa"/>
            <w:vAlign w:val="center"/>
          </w:tcPr>
          <w:p>
            <w:pPr>
              <w:keepNext/>
              <w:spacing w:before="20" w:after="20"/>
              <w:ind w:firstLine="0"/>
              <w:jc w:val="center"/>
            </w:pPr>
            <w:r>
              <w:rPr>
                <w:rFonts w:ascii="Times New Roman" w:hAnsi="Times New Roman"/>
                <w:sz w:val="17"/>
              </w:rPr>
              <w:t xml:space="preserve">FN = 49</w:t>
            </w:r>
          </w:p>
        </w:tc>
        <w:tc>
          <w:tcPr>
            <w:tcW w:w="2250" w:type="dxa"/>
            <w:vAlign w:val="center"/>
          </w:tcPr>
          <w:p>
            <w:pPr>
              <w:keepNext/>
              <w:spacing w:before="20" w:after="20"/>
              <w:ind w:firstLine="0"/>
              <w:jc w:val="center"/>
            </w:pPr>
            <w:r>
              <w:rPr>
                <w:rFonts w:ascii="Times New Roman" w:hAnsi="Times New Roman"/>
                <w:sz w:val="17"/>
              </w:rPr>
              <w:t xml:space="preserve">TP = 451</w:t>
            </w:r>
          </w:p>
        </w:tc>
      </w:tr>
    </w:tbl>
    <w:p>
      <w:pPr>
        <w:pStyle w:val="74"/>
        <w:jc w:val="center"/>
      </w:pPr>
      <w:r>
        <w:rPr>
          <w:rFonts w:ascii="Times New Roman" w:hAnsi="Times New Roman"/>
          <w:i/>
          <w:sz w:val="20"/>
        </w:rPr>
        <w:t xml:space="preserve">Table 6: Confusion matrix of PhishXpert Hybrid on the 1,000-page D1 test set.</w:t>
      </w:r>
    </w:p>
    <w:p>
      <w:pPr>
        <w:ind w:firstLine="340"/>
      </w:pPr>
      <w:r>
        <w:rPr>
          <w:rFonts w:ascii="Times New Roman" w:hAnsi="Times New Roman"/>
          <w:sz w:val="20"/>
        </w:rPr>
        <w:t xml:space="preserve">Table 6 gives the four outcome counts on which all the metrics below are built. Phishing is the positive class: a true positive (TP) is a phishing page correctly flagged, a true negative (TN) a benign page correctly passed, a false positive (FP) a benign page wrongly flagged and a false negative (FN) a phishing page that was missed. The model detects 451 of the 500 phishing pages and wrongly flags 68 of the 500 benign pages, so 117 of the 1,000 pages are misclassified.</w:t>
      </w:r>
    </w:p>
    <w:p>
      <w:pPr>
        <w:pStyle w:val="3"/>
        <w:ind w:firstLine="0"/>
        <w:jc w:val="left"/>
      </w:pPr>
      <w:r>
        <w:rPr>
          <w:rFonts w:ascii="Times New Roman" w:hAnsi="Times New Roman"/>
          <w:b/>
          <w:sz w:val="20"/>
        </w:rPr>
        <w:t xml:space="preserve">5.3  Evaluation Metrics</w:t>
      </w:r>
    </w:p>
    <w:p>
      <w:pPr>
        <w:ind w:firstLine="0"/>
      </w:pPr>
      <w:r>
        <w:rPr>
          <w:rFonts w:ascii="Times New Roman" w:hAnsi="Times New Roman"/>
          <w:sz w:val="20"/>
        </w:rPr>
        <w:t xml:space="preserve">We evaluate the model with complementary metrics, because accuracy alone does not capture every aspect of binary classification performance [Chicco and Jurman 2020]. Each metric is defined below, worked through with the counts in Table 6 and illustrated with a graph.</w:t>
      </w:r>
    </w:p>
    <w:p>
      <w:pPr>
        <w:pStyle w:val="4"/>
        <w:jc w:val="left"/>
      </w:pPr>
      <w:r>
        <w:rPr>
          <w:rFonts w:ascii="Times New Roman" w:hAnsi="Times New Roman"/>
          <w:b/>
          <w:sz w:val="20"/>
        </w:rPr>
        <w:t xml:space="preserve">5.3.1  Accuracy</w:t>
      </w:r>
    </w:p>
    <w:p>
      <w:pPr>
        <w:ind w:firstLine="0"/>
      </w:pPr>
      <w:r>
        <w:rPr>
          <w:rFonts w:ascii="Times New Roman" w:hAnsi="Times New Roman"/>
          <w:sz w:val="20"/>
        </w:rPr>
        <w:t xml:space="preserve">Accuracy is the proportion of all pages that the model classifies correctly, counting both phishing and benign pages:</w:t>
      </w:r>
    </w:p>
    <w:p>
      <w:pPr>
        <w:tabs>
          <w:tab w:val="center" w:pos="3458"/>
          <w:tab w:val="right" w:pos="6917"/>
        </w:tabs>
        <w:spacing w:before="60" w:after="120"/>
        <w:ind w:firstLine="0"/>
      </w:pPr>
      <w:r>
        <w:rPr>
          <w:rFonts w:ascii="Times New Roman" w:hAnsi="Times New Roman"/>
          <w:sz w:val="20"/>
        </w:rPr>
        <w:tab/>
      </w:r>
      <m:oMath>
        <m:r>
          <m:rPr>
            <m:sty m:val="p"/>
          </m:rPr>
          <w:rPr>
            <w:rFonts w:ascii="Cambria Math" w:hAnsi="Cambria Math"/>
          </w:rPr>
          <m:t xml:space="preserve">Accuracy</m:t>
        </m:r>
        <m:r>
          <m:rPr/>
          <w:rPr>
            <w:rFonts w:ascii="Cambria Math" w:hAnsi="Cambria Math"/>
          </w:rPr>
          <m:t xml:space="preserve">=</m:t>
        </m:r>
        <m:f>
          <m:fPr/>
          <m:num>
            <m:r>
              <m:rPr>
                <m:sty m:val="p"/>
              </m:rPr>
              <w:rPr>
                <w:rFonts w:ascii="Cambria Math" w:hAnsi="Cambria Math"/>
              </w:rPr>
              <m:t xml:space="preserve">TP+TN</m:t>
            </m:r>
          </m:num>
          <m:den>
            <m:r>
              <m:rPr>
                <m:sty m:val="p"/>
              </m:rPr>
              <w:rPr>
                <w:rFonts w:ascii="Cambria Math" w:hAnsi="Cambria Math"/>
              </w:rPr>
              <m:t xml:space="preserve">TP+TN+FP+FN</m:t>
            </m:r>
          </m:den>
        </m:f>
        <m:r>
          <m:rPr/>
          <w:rPr>
            <w:rFonts w:ascii="Cambria Math" w:hAnsi="Cambria Math"/>
          </w:rPr>
          <m:t xml:space="preserve">=</m:t>
        </m:r>
        <m:f>
          <m:fPr/>
          <m:num>
            <m:r>
              <m:rPr>
                <m:sty m:val="p"/>
              </m:rPr>
              <w:rPr>
                <w:rFonts w:ascii="Cambria Math" w:hAnsi="Cambria Math"/>
              </w:rPr>
              <m:t xml:space="preserve">451+432</m:t>
            </m:r>
          </m:num>
          <m:den>
            <m:r>
              <m:rPr>
                <m:sty m:val="p"/>
              </m:rPr>
              <w:rPr>
                <w:rFonts w:ascii="Cambria Math" w:hAnsi="Cambria Math"/>
              </w:rPr>
              <m:t xml:space="preserve">1000</m:t>
            </m:r>
          </m:den>
        </m:f>
        <m:r>
          <m:rPr>
            <m:sty m:val="p"/>
          </m:rPr>
          <w:rPr>
            <w:rFonts w:ascii="Cambria Math" w:hAnsi="Cambria Math"/>
          </w:rPr>
          <m:t xml:space="preserve">=88.30%</m:t>
        </m:r>
      </m:oMath>
      <w:r>
        <w:rPr>
          <w:rFonts w:ascii="Times New Roman" w:hAnsi="Times New Roman"/>
          <w:sz w:val="20"/>
        </w:rPr>
        <w:tab/>
        <w:t>(13)</w:t>
      </w:r>
    </w:p>
    <w:p>
      <w:pPr>
        <w:ind w:firstLine="340"/>
      </w:pPr>
      <w:r>
        <w:rPr>
          <w:rFonts w:ascii="Times New Roman" w:hAnsi="Times New Roman"/>
          <w:sz w:val="20"/>
        </w:rPr>
        <w:t xml:space="preserve">In Eq. (13), the numerator counts every correct decision and the denominator counts every page in the test set. Accuracy is easy to interpret and is meaningful here because the test set is balanced (500 pages per class); on an imbalanced set it could look high even if the minority class were ignored. Figure 2 compares the accuracy of the six controlled models. PhishXpert Hybrid reaches 88.30%, which is 2.40 points above LightGBM on the engineered features (85.90%), 3.00 points above XGBoost, 3.30 points above CatBoost and 3.90 points above Random Forest. DistilBERT alone gives the lowest accuracy (82.20%), showing that page text is useful only when combined with structural evidence.</w:t>
      </w:r>
    </w:p>
    <w:p>
      <w:pPr>
        <w:keepNext/>
        <w:spacing w:before="200" w:after="120"/>
        <w:ind w:firstLine="0"/>
        <w:jc w:val="center"/>
      </w:pPr>
      <w:r>
        <w:drawing>
          <wp:inline distT="0" distB="0" distL="0" distR="0">
            <wp:extent cx="3200400" cy="1650206"/>
            <wp:effectExtent l="0" t="0" r="0" b="0"/>
            <wp:docPr id="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a:picLocks noChangeAspect="1"/>
                    </pic:cNvPicPr>
                  </pic:nvPicPr>
                  <pic:blipFill>
                    <a:blip r:embed="rIdImg2"/>
                    <a:stretch>
                      <a:fillRect/>
                    </a:stretch>
                  </pic:blipFill>
                  <pic:spPr>
                    <a:xfrm>
                      <a:off x="0" y="0"/>
                      <a:ext cx="3200400" cy="1650206"/>
                    </a:xfrm>
                    <a:prstGeom prst="rect">
                      <a:avLst/>
                    </a:prstGeom>
                  </pic:spPr>
                </pic:pic>
              </a:graphicData>
            </a:graphic>
          </wp:inline>
        </w:drawing>
      </w:r>
    </w:p>
    <w:p>
      <w:pPr>
        <w:pStyle w:val="74"/>
        <w:jc w:val="center"/>
      </w:pPr>
      <w:r>
        <w:rPr>
          <w:rFonts w:ascii="Times New Roman" w:hAnsi="Times New Roman"/>
          <w:i/>
          <w:sz w:val="20"/>
        </w:rPr>
        <w:t xml:space="preserve">Figure 2: Accuracy of the controlled models on the D1 test set.</w:t>
      </w:r>
    </w:p>
    <w:p>
      <w:pPr>
        <w:pStyle w:val="4"/>
        <w:jc w:val="left"/>
      </w:pPr>
      <w:r>
        <w:rPr>
          <w:rFonts w:ascii="Times New Roman" w:hAnsi="Times New Roman"/>
          <w:b/>
          <w:sz w:val="20"/>
        </w:rPr>
        <w:t xml:space="preserve">5.3.2  Precision</w:t>
      </w:r>
    </w:p>
    <w:p>
      <w:pPr>
        <w:ind w:firstLine="0"/>
      </w:pPr>
      <w:r>
        <w:rPr>
          <w:rFonts w:ascii="Times New Roman" w:hAnsi="Times New Roman"/>
          <w:sz w:val="20"/>
        </w:rPr>
        <w:t xml:space="preserve">Precision measures how trustworthy a phishing alert is, that is, the fraction of pages flagged as phishing that really are phishing:</w:t>
      </w:r>
    </w:p>
    <w:p>
      <w:pPr>
        <w:tabs>
          <w:tab w:val="center" w:pos="3458"/>
          <w:tab w:val="right" w:pos="6917"/>
        </w:tabs>
        <w:spacing w:before="60" w:after="120"/>
        <w:ind w:firstLine="0"/>
      </w:pPr>
      <w:r>
        <w:rPr>
          <w:rFonts w:ascii="Times New Roman" w:hAnsi="Times New Roman"/>
          <w:sz w:val="20"/>
        </w:rPr>
        <w:tab/>
      </w:r>
      <m:oMath>
        <m:r>
          <m:rPr>
            <m:sty m:val="p"/>
          </m:rPr>
          <w:rPr>
            <w:rFonts w:ascii="Cambria Math" w:hAnsi="Cambria Math"/>
          </w:rPr>
          <m:t xml:space="preserve">Precision</m:t>
        </m:r>
        <m:r>
          <m:rPr/>
          <w:rPr>
            <w:rFonts w:ascii="Cambria Math" w:hAnsi="Cambria Math"/>
          </w:rPr>
          <m:t xml:space="preserve">=</m:t>
        </m:r>
        <m:f>
          <m:fPr/>
          <m:num>
            <m:r>
              <m:rPr>
                <m:sty m:val="p"/>
              </m:rPr>
              <w:rPr>
                <w:rFonts w:ascii="Cambria Math" w:hAnsi="Cambria Math"/>
              </w:rPr>
              <m:t xml:space="preserve">TP</m:t>
            </m:r>
          </m:num>
          <m:den>
            <m:r>
              <m:rPr>
                <m:sty m:val="p"/>
              </m:rPr>
              <w:rPr>
                <w:rFonts w:ascii="Cambria Math" w:hAnsi="Cambria Math"/>
              </w:rPr>
              <m:t xml:space="preserve">TP+FP</m:t>
            </m:r>
          </m:den>
        </m:f>
        <m:r>
          <m:rPr/>
          <w:rPr>
            <w:rFonts w:ascii="Cambria Math" w:hAnsi="Cambria Math"/>
          </w:rPr>
          <m:t xml:space="preserve">=</m:t>
        </m:r>
        <m:f>
          <m:fPr/>
          <m:num>
            <m:r>
              <m:rPr>
                <m:sty m:val="p"/>
              </m:rPr>
              <w:rPr>
                <w:rFonts w:ascii="Cambria Math" w:hAnsi="Cambria Math"/>
              </w:rPr>
              <m:t xml:space="preserve">451</m:t>
            </m:r>
          </m:num>
          <m:den>
            <m:r>
              <m:rPr>
                <m:sty m:val="p"/>
              </m:rPr>
              <w:rPr>
                <w:rFonts w:ascii="Cambria Math" w:hAnsi="Cambria Math"/>
              </w:rPr>
              <m:t xml:space="preserve">451+68</m:t>
            </m:r>
          </m:den>
        </m:f>
        <m:r>
          <m:rPr>
            <m:sty m:val="p"/>
          </m:rPr>
          <w:rPr>
            <w:rFonts w:ascii="Cambria Math" w:hAnsi="Cambria Math"/>
          </w:rPr>
          <m:t xml:space="preserve">=86.90%</m:t>
        </m:r>
      </m:oMath>
      <w:r>
        <w:rPr>
          <w:rFonts w:ascii="Times New Roman" w:hAnsi="Times New Roman"/>
          <w:sz w:val="20"/>
        </w:rPr>
        <w:tab/>
        <w:t>(14)</w:t>
      </w:r>
    </w:p>
    <w:p>
      <w:pPr>
        <w:ind w:firstLine="340"/>
      </w:pPr>
      <w:r>
        <w:rPr>
          <w:rFonts w:ascii="Times New Roman" w:hAnsi="Times New Roman"/>
          <w:sz w:val="20"/>
        </w:rPr>
        <w:t xml:space="preserve">In Eq. (14), the denominator TP + FP = 519 is the number of pages the model flagged. High precision means few false alarms, which matters in practice because a detector that frequently blocks legitimate sites quickly loses the trust of its users. Figure 3 shows that the hybrid’s precision on the D1 test set (86.90%) is slightly higher than that of the earlier PhishXpert-NN prototype (85.09%, from a different random-holdout split), but drops to 61.81% on the external CompPhish sample, where many benign pages are flagged.</w:t>
      </w:r>
    </w:p>
    <w:p>
      <w:pPr>
        <w:keepNext/>
        <w:spacing w:before="200" w:after="120"/>
        <w:ind w:firstLine="0"/>
        <w:jc w:val="center"/>
      </w:pPr>
      <w:r>
        <w:drawing>
          <wp:inline distT="0" distB="0" distL="0" distR="0">
            <wp:extent cx="3200400" cy="1550193"/>
            <wp:effectExtent l="0" t="0" r="0" b="0"/>
            <wp:docPr id="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a:picLocks noChangeAspect="1"/>
                    </pic:cNvPicPr>
                  </pic:nvPicPr>
                  <pic:blipFill>
                    <a:blip r:embed="rIdImg3"/>
                    <a:stretch>
                      <a:fillRect/>
                    </a:stretch>
                  </pic:blipFill>
                  <pic:spPr>
                    <a:xfrm>
                      <a:off x="0" y="0"/>
                      <a:ext cx="3200400" cy="1550193"/>
                    </a:xfrm>
                    <a:prstGeom prst="rect">
                      <a:avLst/>
                    </a:prstGeom>
                  </pic:spPr>
                </pic:pic>
              </a:graphicData>
            </a:graphic>
          </wp:inline>
        </w:drawing>
      </w:r>
    </w:p>
    <w:p>
      <w:pPr>
        <w:pStyle w:val="74"/>
        <w:jc w:val="center"/>
      </w:pPr>
      <w:r>
        <w:rPr>
          <w:rFonts w:ascii="Times New Roman" w:hAnsi="Times New Roman"/>
          <w:i/>
          <w:sz w:val="20"/>
        </w:rPr>
        <w:t xml:space="preserve">Figure 3: Precision of PhishXpert Hybrid on the D1 test set and on CompPhish, with the PhishXpert-NN prototype for context.</w:t>
      </w:r>
    </w:p>
    <w:p>
      <w:pPr>
        <w:pStyle w:val="4"/>
        <w:jc w:val="left"/>
      </w:pPr>
      <w:r>
        <w:rPr>
          <w:rFonts w:ascii="Times New Roman" w:hAnsi="Times New Roman"/>
          <w:b/>
          <w:sz w:val="20"/>
        </w:rPr>
        <w:t xml:space="preserve">5.3.3  Recall (Sensitivity)</w:t>
      </w:r>
    </w:p>
    <w:p>
      <w:pPr>
        <w:ind w:firstLine="0"/>
      </w:pPr>
      <w:r>
        <w:rPr>
          <w:rFonts w:ascii="Times New Roman" w:hAnsi="Times New Roman"/>
          <w:sz w:val="20"/>
        </w:rPr>
        <w:t xml:space="preserve">Recall, also called sensitivity or the true-positive rate, measures how many of the phishing pages the model actually catches:</w:t>
      </w:r>
    </w:p>
    <w:p>
      <w:pPr>
        <w:tabs>
          <w:tab w:val="center" w:pos="3458"/>
          <w:tab w:val="right" w:pos="6917"/>
        </w:tabs>
        <w:spacing w:before="60" w:after="120"/>
        <w:ind w:firstLine="0"/>
      </w:pPr>
      <w:r>
        <w:rPr>
          <w:rFonts w:ascii="Times New Roman" w:hAnsi="Times New Roman"/>
          <w:sz w:val="20"/>
        </w:rPr>
        <w:tab/>
      </w:r>
      <m:oMath>
        <m:r>
          <m:rPr>
            <m:sty m:val="p"/>
          </m:rPr>
          <w:rPr>
            <w:rFonts w:ascii="Cambria Math" w:hAnsi="Cambria Math"/>
          </w:rPr>
          <m:t xml:space="preserve">Recall</m:t>
        </m:r>
        <m:r>
          <m:rPr/>
          <w:rPr>
            <w:rFonts w:ascii="Cambria Math" w:hAnsi="Cambria Math"/>
          </w:rPr>
          <m:t xml:space="preserve">=</m:t>
        </m:r>
        <m:f>
          <m:fPr/>
          <m:num>
            <m:r>
              <m:rPr>
                <m:sty m:val="p"/>
              </m:rPr>
              <w:rPr>
                <w:rFonts w:ascii="Cambria Math" w:hAnsi="Cambria Math"/>
              </w:rPr>
              <m:t xml:space="preserve">TP</m:t>
            </m:r>
          </m:num>
          <m:den>
            <m:r>
              <m:rPr>
                <m:sty m:val="p"/>
              </m:rPr>
              <w:rPr>
                <w:rFonts w:ascii="Cambria Math" w:hAnsi="Cambria Math"/>
              </w:rPr>
              <m:t xml:space="preserve">TP+FN</m:t>
            </m:r>
          </m:den>
        </m:f>
        <m:r>
          <m:rPr/>
          <w:rPr>
            <w:rFonts w:ascii="Cambria Math" w:hAnsi="Cambria Math"/>
          </w:rPr>
          <m:t xml:space="preserve">=</m:t>
        </m:r>
        <m:f>
          <m:fPr/>
          <m:num>
            <m:r>
              <m:rPr>
                <m:sty m:val="p"/>
              </m:rPr>
              <w:rPr>
                <w:rFonts w:ascii="Cambria Math" w:hAnsi="Cambria Math"/>
              </w:rPr>
              <m:t xml:space="preserve">451</m:t>
            </m:r>
          </m:num>
          <m:den>
            <m:r>
              <m:rPr>
                <m:sty m:val="p"/>
              </m:rPr>
              <w:rPr>
                <w:rFonts w:ascii="Cambria Math" w:hAnsi="Cambria Math"/>
              </w:rPr>
              <m:t xml:space="preserve">451+49</m:t>
            </m:r>
          </m:den>
        </m:f>
        <m:r>
          <m:rPr>
            <m:sty m:val="p"/>
          </m:rPr>
          <w:rPr>
            <w:rFonts w:ascii="Cambria Math" w:hAnsi="Cambria Math"/>
          </w:rPr>
          <m:t xml:space="preserve">=90.20%</m:t>
        </m:r>
      </m:oMath>
      <w:r>
        <w:rPr>
          <w:rFonts w:ascii="Times New Roman" w:hAnsi="Times New Roman"/>
          <w:sz w:val="20"/>
        </w:rPr>
        <w:tab/>
        <w:t>(15)</w:t>
      </w:r>
    </w:p>
    <w:p>
      <w:pPr>
        <w:ind w:firstLine="340"/>
      </w:pPr>
      <w:r>
        <w:rPr>
          <w:rFonts w:ascii="Times New Roman" w:hAnsi="Times New Roman"/>
          <w:sz w:val="20"/>
        </w:rPr>
        <w:t xml:space="preserve">In Eq. (15), the denominator TP + FN = 500 is the number of phishing pages in the test set. Recall is arguably the most important metric in a security setting, because every missed phishing page is a potential victim. As Figure 4 shows, the hybrid detects 90.20% of phishing pages on D1, above the prototype’s 87.53%, and its recall rises further to 98.40% on CompPhish. The high external recall, however, comes together with the loss of precision and specificity discussed in Sections 5.3.2 and 5.3.5.</w:t>
      </w:r>
    </w:p>
    <w:p>
      <w:pPr>
        <w:keepNext/>
        <w:spacing w:before="200" w:after="120"/>
        <w:ind w:firstLine="0"/>
        <w:jc w:val="center"/>
      </w:pPr>
      <w:r>
        <w:drawing>
          <wp:inline distT="0" distB="0" distL="0" distR="0">
            <wp:extent cx="3200400" cy="1550193"/>
            <wp:effectExtent l="0" t="0" r="0" b="0"/>
            <wp:docPr id="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a:picLocks noChangeAspect="1"/>
                    </pic:cNvPicPr>
                  </pic:nvPicPr>
                  <pic:blipFill>
                    <a:blip r:embed="rIdImg4"/>
                    <a:stretch>
                      <a:fillRect/>
                    </a:stretch>
                  </pic:blipFill>
                  <pic:spPr>
                    <a:xfrm>
                      <a:off x="0" y="0"/>
                      <a:ext cx="3200400" cy="1550193"/>
                    </a:xfrm>
                    <a:prstGeom prst="rect">
                      <a:avLst/>
                    </a:prstGeom>
                  </pic:spPr>
                </pic:pic>
              </a:graphicData>
            </a:graphic>
          </wp:inline>
        </w:drawing>
      </w:r>
    </w:p>
    <w:p>
      <w:pPr>
        <w:pStyle w:val="74"/>
        <w:jc w:val="center"/>
      </w:pPr>
      <w:r>
        <w:rPr>
          <w:rFonts w:ascii="Times New Roman" w:hAnsi="Times New Roman"/>
          <w:i/>
          <w:sz w:val="20"/>
        </w:rPr>
        <w:t xml:space="preserve">Figure 4: Recall of PhishXpert Hybrid on the D1 test set and on CompPhish, with the PhishXpert-NN prototype for context.</w:t>
      </w:r>
    </w:p>
    <w:p>
      <w:pPr>
        <w:pStyle w:val="4"/>
        <w:jc w:val="left"/>
      </w:pPr>
      <w:r>
        <w:rPr>
          <w:rFonts w:ascii="Times New Roman" w:hAnsi="Times New Roman"/>
          <w:b/>
          <w:sz w:val="20"/>
        </w:rPr>
        <w:t xml:space="preserve">5.3.4  F1-Score</w:t>
      </w:r>
    </w:p>
    <w:p>
      <w:pPr>
        <w:ind w:firstLine="0"/>
      </w:pPr>
      <w:r>
        <w:rPr>
          <w:rFonts w:ascii="Times New Roman" w:hAnsi="Times New Roman"/>
          <w:sz w:val="20"/>
        </w:rPr>
        <w:t xml:space="preserve">The F1-score combines precision and recall into a single number using their harmonic mean:</w:t>
      </w:r>
    </w:p>
    <w:p>
      <w:pPr>
        <w:tabs>
          <w:tab w:val="center" w:pos="3458"/>
          <w:tab w:val="right" w:pos="6917"/>
        </w:tabs>
        <w:spacing w:before="60" w:after="120"/>
        <w:ind w:firstLine="0"/>
      </w:pPr>
      <w:r>
        <w:rPr>
          <w:rFonts w:ascii="Times New Roman" w:hAnsi="Times New Roman"/>
          <w:sz w:val="20"/>
        </w:rPr>
        <w:tab/>
      </w:r>
      <m:oMath>
        <m:r>
          <m:rPr>
            <m:sty m:val="p"/>
          </m:rPr>
          <w:rPr>
            <w:rFonts w:ascii="Cambria Math" w:hAnsi="Cambria Math"/>
          </w:rPr>
          <m:t xml:space="preserve">F1</m:t>
        </m:r>
        <m:r>
          <m:rPr/>
          <w:rPr>
            <w:rFonts w:ascii="Cambria Math" w:hAnsi="Cambria Math"/>
          </w:rPr>
          <m:t xml:space="preserve">=</m:t>
        </m:r>
        <m:f>
          <m:fPr/>
          <m:num>
            <m:r>
              <m:rPr>
                <m:sty m:val="p"/>
              </m:rPr>
              <w:rPr>
                <w:rFonts w:ascii="Cambria Math" w:hAnsi="Cambria Math"/>
              </w:rPr>
              <m:t xml:space="preserve">2</m:t>
            </m:r>
            <m:r>
              <m:rPr/>
              <w:rPr>
                <w:rFonts w:ascii="Cambria Math" w:hAnsi="Cambria Math"/>
              </w:rPr>
              <m:t xml:space="preserve">×</m:t>
            </m:r>
            <m:r>
              <m:rPr>
                <m:sty m:val="p"/>
              </m:rPr>
              <w:rPr>
                <w:rFonts w:ascii="Cambria Math" w:hAnsi="Cambria Math"/>
              </w:rPr>
              <m:t xml:space="preserve">Precision</m:t>
            </m:r>
            <m:r>
              <m:rPr/>
              <w:rPr>
                <w:rFonts w:ascii="Cambria Math" w:hAnsi="Cambria Math"/>
              </w:rPr>
              <m:t xml:space="preserve">×</m:t>
            </m:r>
            <m:r>
              <m:rPr>
                <m:sty m:val="p"/>
              </m:rPr>
              <w:rPr>
                <w:rFonts w:ascii="Cambria Math" w:hAnsi="Cambria Math"/>
              </w:rPr>
              <m:t xml:space="preserve">Recall</m:t>
            </m:r>
          </m:num>
          <m:den>
            <m:r>
              <m:rPr>
                <m:sty m:val="p"/>
              </m:rPr>
              <w:rPr>
                <w:rFonts w:ascii="Cambria Math" w:hAnsi="Cambria Math"/>
              </w:rPr>
              <m:t xml:space="preserve">Precision+Recall</m:t>
            </m:r>
          </m:den>
        </m:f>
        <m:r>
          <m:rPr/>
          <w:rPr>
            <w:rFonts w:ascii="Cambria Math" w:hAnsi="Cambria Math"/>
          </w:rPr>
          <m:t xml:space="preserve">=</m:t>
        </m:r>
        <m:f>
          <m:fPr/>
          <m:num>
            <m:r>
              <m:rPr>
                <m:sty m:val="p"/>
              </m:rPr>
              <w:rPr>
                <w:rFonts w:ascii="Cambria Math" w:hAnsi="Cambria Math"/>
              </w:rPr>
              <m:t xml:space="preserve">2×0.8690×0.9020</m:t>
            </m:r>
          </m:num>
          <m:den>
            <m:r>
              <m:rPr>
                <m:sty m:val="p"/>
              </m:rPr>
              <w:rPr>
                <w:rFonts w:ascii="Cambria Math" w:hAnsi="Cambria Math"/>
              </w:rPr>
              <m:t xml:space="preserve">0.8690+0.9020</m:t>
            </m:r>
          </m:den>
        </m:f>
        <m:r>
          <m:rPr>
            <m:sty m:val="p"/>
          </m:rPr>
          <w:rPr>
            <w:rFonts w:ascii="Cambria Math" w:hAnsi="Cambria Math"/>
          </w:rPr>
          <m:t xml:space="preserve">=88.52%</m:t>
        </m:r>
      </m:oMath>
      <w:r>
        <w:rPr>
          <w:rFonts w:ascii="Times New Roman" w:hAnsi="Times New Roman"/>
          <w:sz w:val="20"/>
        </w:rPr>
        <w:tab/>
        <w:t>(16)</w:t>
      </w:r>
    </w:p>
    <w:p>
      <w:pPr>
        <w:ind w:firstLine="340"/>
      </w:pPr>
      <w:r>
        <w:rPr>
          <w:rFonts w:ascii="Times New Roman" w:hAnsi="Times New Roman"/>
          <w:sz w:val="20"/>
        </w:rPr>
        <w:t xml:space="preserve">In Eq. (16), the harmonic mean is dominated by the smaller of the two values, so a model cannot reach a high F1-score by maximising recall at the expense of precision, or vice versa. It is therefore a good single summary of the balance between false alarms and missed detections. Figure 5 shows that the hybrid has the highest F1-score of the controlled models (88.52%), 2.52 points above LightGBM (86.00%) and 5.80 points above DistilBERT alone (82.72%).</w:t>
      </w:r>
    </w:p>
    <w:p>
      <w:pPr>
        <w:keepNext/>
        <w:spacing w:before="200" w:after="120"/>
        <w:ind w:firstLine="0"/>
        <w:jc w:val="center"/>
      </w:pPr>
      <w:r>
        <w:drawing>
          <wp:inline distT="0" distB="0" distL="0" distR="0">
            <wp:extent cx="3200400" cy="1650206"/>
            <wp:effectExtent l="0" t="0" r="0" b="0"/>
            <wp:docPr id="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pic:cNvPicPr>
                      <a:picLocks noChangeAspect="1"/>
                    </pic:cNvPicPr>
                  </pic:nvPicPr>
                  <pic:blipFill>
                    <a:blip r:embed="rIdImg5"/>
                    <a:stretch>
                      <a:fillRect/>
                    </a:stretch>
                  </pic:blipFill>
                  <pic:spPr>
                    <a:xfrm>
                      <a:off x="0" y="0"/>
                      <a:ext cx="3200400" cy="1650206"/>
                    </a:xfrm>
                    <a:prstGeom prst="rect">
                      <a:avLst/>
                    </a:prstGeom>
                  </pic:spPr>
                </pic:pic>
              </a:graphicData>
            </a:graphic>
          </wp:inline>
        </w:drawing>
      </w:r>
    </w:p>
    <w:p>
      <w:pPr>
        <w:pStyle w:val="74"/>
        <w:jc w:val="center"/>
      </w:pPr>
      <w:r>
        <w:rPr>
          <w:rFonts w:ascii="Times New Roman" w:hAnsi="Times New Roman"/>
          <w:i/>
          <w:sz w:val="20"/>
        </w:rPr>
        <w:t xml:space="preserve">Figure 5: F1-score of the controlled models on the D1 test set.</w:t>
      </w:r>
    </w:p>
    <w:p>
      <w:pPr>
        <w:pStyle w:val="4"/>
        <w:jc w:val="left"/>
      </w:pPr>
      <w:r>
        <w:rPr>
          <w:rFonts w:ascii="Times New Roman" w:hAnsi="Times New Roman"/>
          <w:b/>
          <w:sz w:val="20"/>
        </w:rPr>
        <w:t xml:space="preserve">5.3.5  Specificity</w:t>
      </w:r>
    </w:p>
    <w:p>
      <w:pPr>
        <w:ind w:firstLine="0"/>
      </w:pPr>
      <w:r>
        <w:rPr>
          <w:rFonts w:ascii="Times New Roman" w:hAnsi="Times New Roman"/>
          <w:sz w:val="20"/>
        </w:rPr>
        <w:t xml:space="preserve">Specificity, or the true-negative rate, measures how well the model recognises legitimate pages:</w:t>
      </w:r>
    </w:p>
    <w:p>
      <w:pPr>
        <w:tabs>
          <w:tab w:val="center" w:pos="3458"/>
          <w:tab w:val="right" w:pos="6917"/>
        </w:tabs>
        <w:spacing w:before="60" w:after="120"/>
        <w:ind w:firstLine="0"/>
      </w:pPr>
      <w:r>
        <w:rPr>
          <w:rFonts w:ascii="Times New Roman" w:hAnsi="Times New Roman"/>
          <w:sz w:val="20"/>
        </w:rPr>
        <w:tab/>
      </w:r>
      <m:oMath>
        <m:r>
          <m:rPr>
            <m:sty m:val="p"/>
          </m:rPr>
          <w:rPr>
            <w:rFonts w:ascii="Cambria Math" w:hAnsi="Cambria Math"/>
          </w:rPr>
          <m:t xml:space="preserve">Specificity</m:t>
        </m:r>
        <m:r>
          <m:rPr/>
          <w:rPr>
            <w:rFonts w:ascii="Cambria Math" w:hAnsi="Cambria Math"/>
          </w:rPr>
          <m:t xml:space="preserve">=</m:t>
        </m:r>
        <m:f>
          <m:fPr/>
          <m:num>
            <m:r>
              <m:rPr>
                <m:sty m:val="p"/>
              </m:rPr>
              <w:rPr>
                <w:rFonts w:ascii="Cambria Math" w:hAnsi="Cambria Math"/>
              </w:rPr>
              <m:t xml:space="preserve">TN</m:t>
            </m:r>
          </m:num>
          <m:den>
            <m:r>
              <m:rPr>
                <m:sty m:val="p"/>
              </m:rPr>
              <w:rPr>
                <w:rFonts w:ascii="Cambria Math" w:hAnsi="Cambria Math"/>
              </w:rPr>
              <m:t xml:space="preserve">TN+FP</m:t>
            </m:r>
          </m:den>
        </m:f>
        <m:r>
          <m:rPr/>
          <w:rPr>
            <w:rFonts w:ascii="Cambria Math" w:hAnsi="Cambria Math"/>
          </w:rPr>
          <m:t xml:space="preserve">=</m:t>
        </m:r>
        <m:f>
          <m:fPr/>
          <m:num>
            <m:r>
              <m:rPr>
                <m:sty m:val="p"/>
              </m:rPr>
              <w:rPr>
                <w:rFonts w:ascii="Cambria Math" w:hAnsi="Cambria Math"/>
              </w:rPr>
              <m:t xml:space="preserve">432</m:t>
            </m:r>
          </m:num>
          <m:den>
            <m:r>
              <m:rPr>
                <m:sty m:val="p"/>
              </m:rPr>
              <w:rPr>
                <w:rFonts w:ascii="Cambria Math" w:hAnsi="Cambria Math"/>
              </w:rPr>
              <m:t xml:space="preserve">432+68</m:t>
            </m:r>
          </m:den>
        </m:f>
        <m:r>
          <m:rPr>
            <m:sty m:val="p"/>
          </m:rPr>
          <w:rPr>
            <w:rFonts w:ascii="Cambria Math" w:hAnsi="Cambria Math"/>
          </w:rPr>
          <m:t xml:space="preserve">=86.40%</m:t>
        </m:r>
      </m:oMath>
      <w:r>
        <w:rPr>
          <w:rFonts w:ascii="Times New Roman" w:hAnsi="Times New Roman"/>
          <w:sz w:val="20"/>
        </w:rPr>
        <w:tab/>
        <w:t>(17)</w:t>
      </w:r>
    </w:p>
    <w:p>
      <w:pPr>
        <w:ind w:firstLine="340"/>
      </w:pPr>
      <w:r>
        <w:rPr>
          <w:rFonts w:ascii="Times New Roman" w:hAnsi="Times New Roman"/>
          <w:sz w:val="20"/>
        </w:rPr>
        <w:t xml:space="preserve">In Eq. (17), the denominator TN + FP = 500 is the number of benign pages. Specificity is the complement of the false-positive rate (FPR = 1 − specificity), so it directly reflects how often users would be wrongly warned. Figure 6 shows that the hybrid correctly passes 86.40% of benign D1 pages, but only 39.20% of benign CompPhish pages (588 of 1,500). Specificity is thus the metric most sensitive to distribution shift, and we return to it in Section 7.3.</w:t>
      </w:r>
    </w:p>
    <w:p>
      <w:pPr>
        <w:keepNext/>
        <w:spacing w:before="200" w:after="120"/>
        <w:ind w:firstLine="0"/>
        <w:jc w:val="center"/>
      </w:pPr>
      <w:r>
        <w:drawing>
          <wp:inline distT="0" distB="0" distL="0" distR="0">
            <wp:extent cx="3200400" cy="1450181"/>
            <wp:effectExtent l="0" t="0" r="0" b="0"/>
            <wp:docPr id="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png"/>
                    <pic:cNvPicPr>
                      <a:picLocks noChangeAspect="1"/>
                    </pic:cNvPicPr>
                  </pic:nvPicPr>
                  <pic:blipFill>
                    <a:blip r:embed="rIdImg6"/>
                    <a:stretch>
                      <a:fillRect/>
                    </a:stretch>
                  </pic:blipFill>
                  <pic:spPr>
                    <a:xfrm>
                      <a:off x="0" y="0"/>
                      <a:ext cx="3200400" cy="1450181"/>
                    </a:xfrm>
                    <a:prstGeom prst="rect">
                      <a:avLst/>
                    </a:prstGeom>
                  </pic:spPr>
                </pic:pic>
              </a:graphicData>
            </a:graphic>
          </wp:inline>
        </w:drawing>
      </w:r>
    </w:p>
    <w:p>
      <w:pPr>
        <w:pStyle w:val="74"/>
        <w:jc w:val="center"/>
      </w:pPr>
      <w:r>
        <w:rPr>
          <w:rFonts w:ascii="Times New Roman" w:hAnsi="Times New Roman"/>
          <w:i/>
          <w:sz w:val="20"/>
        </w:rPr>
        <w:t xml:space="preserve">Figure 6: Specificity of PhishXpert Hybrid on the D1 test set and on the CompPhish external sample.</w:t>
      </w:r>
    </w:p>
    <w:p>
      <w:pPr>
        <w:pStyle w:val="4"/>
        <w:jc w:val="left"/>
      </w:pPr>
      <w:r>
        <w:rPr>
          <w:rFonts w:ascii="Times New Roman" w:hAnsi="Times New Roman"/>
          <w:b/>
          <w:sz w:val="20"/>
        </w:rPr>
        <w:t xml:space="preserve">5.3.6  ROC-AUC and PR-AUC</w:t>
      </w:r>
    </w:p>
    <w:p>
      <w:pPr>
        <w:ind w:firstLine="0"/>
      </w:pPr>
      <w:r>
        <w:rPr>
          <w:rFonts w:ascii="Times New Roman" w:hAnsi="Times New Roman"/>
          <w:sz w:val="20"/>
        </w:rPr>
        <w:t xml:space="preserve">The previous metrics depend on the decision threshold θ of Eq. (9). The area under the ROC curve removes this dependence by measuring ranking quality over all thresholds [Fawcett 2006]:</w:t>
      </w:r>
    </w:p>
    <w:p>
      <w:pPr>
        <w:tabs>
          <w:tab w:val="center" w:pos="3458"/>
          <w:tab w:val="right" w:pos="6917"/>
        </w:tabs>
        <w:spacing w:before="60" w:after="120"/>
        <w:ind w:firstLine="0"/>
      </w:pPr>
      <w:r>
        <w:rPr>
          <w:rFonts w:ascii="Times New Roman" w:hAnsi="Times New Roman"/>
          <w:sz w:val="20"/>
        </w:rPr>
        <w:tab/>
      </w:r>
      <m:oMath>
        <m:r>
          <m:rPr>
            <m:sty m:val="p"/>
          </m:rPr>
          <w:rPr>
            <w:rFonts w:ascii="Cambria Math" w:hAnsi="Cambria Math"/>
          </w:rPr>
          <m:t xml:space="preserve">ROC-AUC</m:t>
        </m:r>
        <m:r>
          <m:rPr/>
          <w:rPr>
            <w:rFonts w:ascii="Cambria Math" w:hAnsi="Cambria Math"/>
          </w:rPr>
          <m:t xml:space="preserve">=</m:t>
        </m:r>
        <m:nary>
          <m:naryPr>
            <m:chr m:val="∫"/>
            <m:limLoc m:val="undOvr"/>
          </m:naryPr>
          <m:sub>
            <m:r>
              <m:rPr>
                <m:sty m:val="p"/>
              </m:rPr>
              <w:rPr>
                <w:rFonts w:ascii="Cambria Math" w:hAnsi="Cambria Math"/>
              </w:rPr>
              <m:t xml:space="preserve">0</m:t>
            </m:r>
          </m:sub>
          <m:sup>
            <m:r>
              <m:rPr>
                <m:sty m:val="p"/>
              </m:rPr>
              <w:rPr>
                <w:rFonts w:ascii="Cambria Math" w:hAnsi="Cambria Math"/>
              </w:rPr>
              <m:t xml:space="preserve">1</m:t>
            </m:r>
          </m:sup>
          <m:e>
            <m:r>
              <m:rPr>
                <m:sty m:val="p"/>
              </m:rPr>
              <w:rPr>
                <w:rFonts w:ascii="Cambria Math" w:hAnsi="Cambria Math"/>
              </w:rPr>
              <m:t xml:space="preserve">TPR</m:t>
            </m:r>
            <m:d>
              <m:dPr>
                <m:begChr m:val="("/>
                <m:endChr m:val=")"/>
              </m:dPr>
              <m:e>
                <m:r>
                  <m:rPr>
                    <m:sty m:val="p"/>
                  </m:rPr>
                  <w:rPr>
                    <w:rFonts w:ascii="Cambria Math" w:hAnsi="Cambria Math"/>
                  </w:rPr>
                  <m:t xml:space="preserve">FPR</m:t>
                </m:r>
              </m:e>
            </m:d>
            <m:r>
              <m:rPr>
                <m:sty m:val="p"/>
              </m:rPr>
              <w:rPr>
                <w:rFonts w:ascii="Cambria Math" w:hAnsi="Cambria Math"/>
              </w:rPr>
              <m:t xml:space="preserve"> d</m:t>
            </m:r>
            <m:r>
              <m:rPr>
                <m:sty m:val="p"/>
              </m:rPr>
              <w:rPr>
                <w:rFonts w:ascii="Cambria Math" w:hAnsi="Cambria Math"/>
              </w:rPr>
              <m:t xml:space="preserve">FPR</m:t>
            </m:r>
          </m:e>
        </m:nary>
      </m:oMath>
      <w:r>
        <w:rPr>
          <w:rFonts w:ascii="Times New Roman" w:hAnsi="Times New Roman"/>
          <w:sz w:val="20"/>
        </w:rPr>
        <w:tab/>
        <w:t>(18)</w:t>
      </w:r>
    </w:p>
    <w:p>
      <w:pPr>
        <w:ind w:firstLine="340"/>
      </w:pPr>
      <w:r>
        <w:rPr>
          <w:rFonts w:ascii="Times New Roman" w:hAnsi="Times New Roman"/>
          <w:sz w:val="20"/>
        </w:rPr>
        <w:t xml:space="preserve">In Eq. (18), TPR is the recall of Eq. (15) and FPR = FP/(FP + TN) is the false-positive rate, both computed as θ moves from 1 to 0. ROC-AUC equals the probability that a randomly chosen phishing page receives a higher score than a randomly chosen benign page, so 50% corresponds to random guessing and 100% to perfect ranking. PR-AUC is defined in the same way but integrates precision over recall, which makes it more sensitive to false positives among the flagged pages [Saito and Rehmsmeier 2015]. Figure 7 shows that the hybrid has the highest ROC-AUC (95.54%) and PR-AUC (96.07%) of the controlled models, while DistilBERT alone has the lowest.</w:t>
      </w:r>
    </w:p>
    <w:p>
      <w:pPr>
        <w:keepNext/>
        <w:spacing w:before="200" w:after="120"/>
        <w:ind w:firstLine="0"/>
        <w:jc w:val="center"/>
      </w:pPr>
      <w:r>
        <w:drawing>
          <wp:inline distT="0" distB="0" distL="0" distR="0">
            <wp:extent cx="3200400" cy="1650206"/>
            <wp:effectExtent l="0" t="0" r="0" b="0"/>
            <wp:docPr id="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png"/>
                    <pic:cNvPicPr>
                      <a:picLocks noChangeAspect="1"/>
                    </pic:cNvPicPr>
                  </pic:nvPicPr>
                  <pic:blipFill>
                    <a:blip r:embed="rIdImg7"/>
                    <a:stretch>
                      <a:fillRect/>
                    </a:stretch>
                  </pic:blipFill>
                  <pic:spPr>
                    <a:xfrm>
                      <a:off x="0" y="0"/>
                      <a:ext cx="3200400" cy="1650206"/>
                    </a:xfrm>
                    <a:prstGeom prst="rect">
                      <a:avLst/>
                    </a:prstGeom>
                  </pic:spPr>
                </pic:pic>
              </a:graphicData>
            </a:graphic>
          </wp:inline>
        </w:drawing>
      </w:r>
    </w:p>
    <w:p>
      <w:pPr>
        <w:pStyle w:val="74"/>
        <w:jc w:val="center"/>
      </w:pPr>
      <w:r>
        <w:rPr>
          <w:rFonts w:ascii="Times New Roman" w:hAnsi="Times New Roman"/>
          <w:i/>
          <w:sz w:val="20"/>
        </w:rPr>
        <w:t xml:space="preserve">Figure 7: ROC-AUC and PR-AUC of the controlled models on the D1 test set.</w:t>
      </w:r>
    </w:p>
    <w:p>
      <w:pPr>
        <w:pStyle w:val="4"/>
        <w:jc w:val="left"/>
      </w:pPr>
      <w:r>
        <w:rPr>
          <w:rFonts w:ascii="Times New Roman" w:hAnsi="Times New Roman"/>
          <w:b/>
          <w:sz w:val="20"/>
        </w:rPr>
        <w:t xml:space="preserve">5.3.7  MCC and Cohen’s Kappa</w:t>
      </w:r>
    </w:p>
    <w:p>
      <w:pPr>
        <w:ind w:firstLine="0"/>
      </w:pPr>
      <w:r>
        <w:rPr>
          <w:rFonts w:ascii="Times New Roman" w:hAnsi="Times New Roman"/>
          <w:sz w:val="20"/>
        </w:rPr>
        <w:t xml:space="preserve">The Matthews correlation coefficient uses all four cells of the confusion matrix:</w:t>
      </w:r>
    </w:p>
    <w:p>
      <w:pPr>
        <w:tabs>
          <w:tab w:val="center" w:pos="3458"/>
          <w:tab w:val="right" w:pos="6917"/>
        </w:tabs>
        <w:spacing w:before="60" w:after="120"/>
        <w:ind w:firstLine="0"/>
      </w:pPr>
      <w:r>
        <w:rPr>
          <w:rFonts w:ascii="Times New Roman" w:hAnsi="Times New Roman"/>
          <w:sz w:val="20"/>
        </w:rPr>
        <w:tab/>
      </w:r>
      <m:oMath>
        <m:r>
          <m:rPr>
            <m:sty m:val="p"/>
          </m:rPr>
          <w:rPr>
            <w:rFonts w:ascii="Cambria Math" w:hAnsi="Cambria Math"/>
          </w:rPr>
          <m:t xml:space="preserve">MCC</m:t>
        </m:r>
        <m:r>
          <m:rPr/>
          <w:rPr>
            <w:rFonts w:ascii="Cambria Math" w:hAnsi="Cambria Math"/>
          </w:rPr>
          <m:t xml:space="preserve">=</m:t>
        </m:r>
        <m:f>
          <m:fPr/>
          <m:num>
            <m:r>
              <m:rPr>
                <m:sty m:val="p"/>
              </m:rPr>
              <w:rPr>
                <w:rFonts w:ascii="Cambria Math" w:hAnsi="Cambria Math"/>
              </w:rPr>
              <m:t xml:space="preserve">TP×TN−FP×FN</m:t>
            </m:r>
          </m:num>
          <m:den>
            <m:rad>
              <m:radPr>
                <m:degHide m:val="1"/>
              </m:radPr>
              <m:deg/>
              <m:e>
                <m:r>
                  <m:rPr>
                    <m:sty m:val="p"/>
                  </m:rPr>
                  <w:rPr>
                    <w:rFonts w:ascii="Cambria Math" w:hAnsi="Cambria Math"/>
                  </w:rPr>
                  <m:t xml:space="preserve">(TP+FP)(TP+FN)(TN+FP)(TN+FN)</m:t>
                </m:r>
              </m:e>
            </m:rad>
          </m:den>
        </m:f>
        <m:r>
          <m:rPr>
            <m:sty m:val="p"/>
          </m:rPr>
          <w:rPr>
            <w:rFonts w:ascii="Cambria Math" w:hAnsi="Cambria Math"/>
          </w:rPr>
          <m:t xml:space="preserve">=0.7666</m:t>
        </m:r>
      </m:oMath>
      <w:r>
        <w:rPr>
          <w:rFonts w:ascii="Times New Roman" w:hAnsi="Times New Roman"/>
          <w:sz w:val="20"/>
        </w:rPr>
        <w:tab/>
        <w:t>(19)</w:t>
      </w:r>
    </w:p>
    <w:p>
      <w:pPr>
        <w:ind w:firstLine="340"/>
      </w:pPr>
      <w:r>
        <w:rPr>
          <w:rFonts w:ascii="Times New Roman" w:hAnsi="Times New Roman"/>
          <w:sz w:val="20"/>
        </w:rPr>
        <w:t xml:space="preserve">In Eq. (19), the numerator is large when correct decisions (TP × TN) outweigh errors (FP × FN), and the denominator normalises the result to the range −1 to +1, where +1 is perfect prediction, 0 is no better than chance and −1 is total disagreement. Because it is high only when the model does well on both classes, MCC is a more reliable single summary than accuracy [Chicco and Jurman 2020]. Cohen’s kappa measures agreement beyond chance [Cohen 1960]:</w:t>
      </w:r>
    </w:p>
    <w:p>
      <w:pPr>
        <w:tabs>
          <w:tab w:val="center" w:pos="3458"/>
          <w:tab w:val="right" w:pos="6917"/>
        </w:tabs>
        <w:spacing w:before="60" w:after="120"/>
        <w:ind w:firstLine="0"/>
      </w:pPr>
      <w:r>
        <w:rPr>
          <w:rFonts w:ascii="Times New Roman" w:hAnsi="Times New Roman"/>
          <w:sz w:val="20"/>
        </w:rPr>
        <w:tab/>
      </w:r>
      <m:oMath>
        <m:r>
          <m:rPr/>
          <w:rPr>
            <w:rFonts w:ascii="Cambria Math" w:hAnsi="Cambria Math"/>
          </w:rPr>
          <m:t xml:space="preserve">κ</m:t>
        </m:r>
        <m:r>
          <m:rPr/>
          <w:rPr>
            <w:rFonts w:ascii="Cambria Math" w:hAnsi="Cambria Math"/>
          </w:rPr>
          <m:t xml:space="preserve">=</m:t>
        </m:r>
        <m:f>
          <m:fPr/>
          <m:num>
            <m:sSub>
              <m:sSubPr/>
              <m:e>
                <m:r>
                  <m:rPr/>
                  <w:rPr>
                    <w:rFonts w:ascii="Cambria Math" w:hAnsi="Cambria Math"/>
                  </w:rPr>
                  <m:t xml:space="preserve">p</m:t>
                </m:r>
              </m:e>
              <m:sub>
                <m:r>
                  <m:rPr>
                    <m:sty m:val="p"/>
                  </m:rPr>
                  <w:rPr>
                    <w:rFonts w:ascii="Cambria Math" w:hAnsi="Cambria Math"/>
                  </w:rPr>
                  <m:t xml:space="preserve">o</m:t>
                </m:r>
              </m:sub>
            </m:sSub>
            <m:r>
              <m:rPr/>
              <w:rPr>
                <w:rFonts w:ascii="Cambria Math" w:hAnsi="Cambria Math"/>
              </w:rPr>
              <m:t xml:space="preserve">−</m:t>
            </m:r>
            <m:sSub>
              <m:sSubPr/>
              <m:e>
                <m:r>
                  <m:rPr/>
                  <w:rPr>
                    <w:rFonts w:ascii="Cambria Math" w:hAnsi="Cambria Math"/>
                  </w:rPr>
                  <m:t xml:space="preserve">p</m:t>
                </m:r>
              </m:e>
              <m:sub>
                <m:r>
                  <m:rPr>
                    <m:sty m:val="p"/>
                  </m:rPr>
                  <w:rPr>
                    <w:rFonts w:ascii="Cambria Math" w:hAnsi="Cambria Math"/>
                  </w:rPr>
                  <m:t xml:space="preserve">e</m:t>
                </m:r>
              </m:sub>
            </m:sSub>
          </m:num>
          <m:den>
            <m:r>
              <m:rPr>
                <m:sty m:val="p"/>
              </m:rPr>
              <w:rPr>
                <w:rFonts w:ascii="Cambria Math" w:hAnsi="Cambria Math"/>
              </w:rPr>
              <m:t xml:space="preserve">1−</m:t>
            </m:r>
            <m:sSub>
              <m:sSubPr/>
              <m:e>
                <m:r>
                  <m:rPr/>
                  <w:rPr>
                    <w:rFonts w:ascii="Cambria Math" w:hAnsi="Cambria Math"/>
                  </w:rPr>
                  <m:t xml:space="preserve">p</m:t>
                </m:r>
              </m:e>
              <m:sub>
                <m:r>
                  <m:rPr>
                    <m:sty m:val="p"/>
                  </m:rPr>
                  <w:rPr>
                    <w:rFonts w:ascii="Cambria Math" w:hAnsi="Cambria Math"/>
                  </w:rPr>
                  <m:t xml:space="preserve">e</m:t>
                </m:r>
              </m:sub>
            </m:sSub>
          </m:den>
        </m:f>
        <m:r>
          <m:rPr/>
          <w:rPr>
            <w:rFonts w:ascii="Cambria Math" w:hAnsi="Cambria Math"/>
          </w:rPr>
          <m:t xml:space="preserve">=</m:t>
        </m:r>
        <m:f>
          <m:fPr/>
          <m:num>
            <m:r>
              <m:rPr>
                <m:sty m:val="p"/>
              </m:rPr>
              <w:rPr>
                <w:rFonts w:ascii="Cambria Math" w:hAnsi="Cambria Math"/>
              </w:rPr>
              <m:t xml:space="preserve">0.883−0.500</m:t>
            </m:r>
          </m:num>
          <m:den>
            <m:r>
              <m:rPr>
                <m:sty m:val="p"/>
              </m:rPr>
              <w:rPr>
                <w:rFonts w:ascii="Cambria Math" w:hAnsi="Cambria Math"/>
              </w:rPr>
              <m:t xml:space="preserve">1−0.500</m:t>
            </m:r>
          </m:den>
        </m:f>
        <m:r>
          <m:rPr>
            <m:sty m:val="p"/>
          </m:rPr>
          <w:rPr>
            <w:rFonts w:ascii="Cambria Math" w:hAnsi="Cambria Math"/>
          </w:rPr>
          <m:t xml:space="preserve">=0.7660</m:t>
        </m:r>
      </m:oMath>
      <w:r>
        <w:rPr>
          <w:rFonts w:ascii="Times New Roman" w:hAnsi="Times New Roman"/>
          <w:sz w:val="20"/>
        </w:rPr>
        <w:tab/>
        <w:t>(20)</w:t>
      </w:r>
    </w:p>
    <w:p>
      <w:pPr>
        <w:ind w:firstLine="340"/>
      </w:pPr>
      <w:r>
        <w:rPr>
          <w:rFonts w:ascii="Times New Roman" w:hAnsi="Times New Roman"/>
          <w:sz w:val="20"/>
        </w:rPr>
        <w:t xml:space="preserve">In Eq. (20), pₒ = 0.883 is the observed agreement (the accuracy) and pₑ is the agreement expected by chance from the class totals, which equals 0.500 here because both the predictions (519 versus 481) and the labels (500 versus 500) are close to balanced. Both MCC (0.7666) and kappa (0.7660) indicate strong agreement between predictions and true labels. These two metrics were recorded only for the hybrid model, so they are reported in Table 5 rather than plotted.</w:t>
      </w:r>
    </w:p>
    <w:p>
      <w:pPr>
        <w:pStyle w:val="3"/>
        <w:ind w:firstLine="0"/>
        <w:jc w:val="left"/>
      </w:pPr>
      <w:r>
        <w:rPr>
          <w:rFonts w:ascii="Times New Roman" w:hAnsi="Times New Roman"/>
          <w:b/>
          <w:sz w:val="20"/>
        </w:rPr>
        <w:t xml:space="preserve">5.4  Controlled Model Comparison</w:t>
      </w:r>
    </w:p>
    <w:p>
      <w:pPr>
        <w:ind w:firstLine="0"/>
      </w:pPr>
      <w:r>
        <w:rPr>
          <w:rFonts w:ascii="Times New Roman" w:hAnsi="Times New Roman"/>
          <w:sz w:val="20"/>
        </w:rPr>
        <w:t xml:space="preserve">Table 7 collects the values plotted in Figures 2, 5 and 7 for all controlled models on the identical D1 split. PhishXpert Hybrid is the strongest model on every metric in the table.</w:t>
      </w:r>
    </w:p>
    <w:tbl>
      <w:tblPr>
        <w:tblStyle w:val="29"/>
        <w:tblW w:w="680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2100"/>
        <w:gridCol w:w="940"/>
        <w:gridCol w:w="940"/>
        <w:gridCol w:w="940"/>
        <w:gridCol w:w="940"/>
        <w:gridCol w:w="940"/>
      </w:tblGrid>
      <w:tr>
        <w:trPr>
          <w:cantSplit/>
          <w:tblHeader/>
          <w:jc w:val="center"/>
        </w:trPr>
        <w:tc>
          <w:tcPr>
            <w:tcW w:w="2100" w:type="dxa"/>
            <w:tcBorders>
              <w:bottom w:val="single" w:color="000000" w:sz="4" w:space="0"/>
            </w:tcBorders>
            <w:vAlign w:val="center"/>
          </w:tcPr>
          <w:p>
            <w:pPr>
              <w:spacing w:before="20" w:after="20"/>
              <w:ind w:firstLine="0"/>
              <w:jc w:val="left"/>
            </w:pPr>
            <w:r>
              <w:rPr>
                <w:rFonts w:ascii="Times New Roman" w:hAnsi="Times New Roman"/>
                <w:b/>
                <w:sz w:val="17"/>
              </w:rPr>
              <w:t xml:space="preserve">Model</w:t>
            </w:r>
          </w:p>
        </w:tc>
        <w:tc>
          <w:tcPr>
            <w:tcW w:w="940" w:type="dxa"/>
            <w:tcBorders>
              <w:bottom w:val="single" w:color="000000" w:sz="4" w:space="0"/>
            </w:tcBorders>
            <w:vAlign w:val="center"/>
          </w:tcPr>
          <w:p>
            <w:pPr>
              <w:spacing w:before="20" w:after="20"/>
              <w:ind w:firstLine="0"/>
              <w:jc w:val="center"/>
            </w:pPr>
            <w:r>
              <w:rPr>
                <w:rFonts w:ascii="Times New Roman" w:hAnsi="Times New Roman"/>
                <w:b/>
                <w:sz w:val="17"/>
              </w:rPr>
              <w:t xml:space="preserve">Features</w:t>
            </w:r>
          </w:p>
        </w:tc>
        <w:tc>
          <w:tcPr>
            <w:tcW w:w="940" w:type="dxa"/>
            <w:tcBorders>
              <w:bottom w:val="single" w:color="000000" w:sz="4" w:space="0"/>
            </w:tcBorders>
            <w:vAlign w:val="center"/>
          </w:tcPr>
          <w:p>
            <w:pPr>
              <w:spacing w:before="20" w:after="20"/>
              <w:ind w:firstLine="0"/>
              <w:jc w:val="center"/>
            </w:pPr>
            <w:r>
              <w:rPr>
                <w:rFonts w:ascii="Times New Roman" w:hAnsi="Times New Roman"/>
                <w:b/>
                <w:sz w:val="17"/>
              </w:rPr>
              <w:t xml:space="preserve">Accuracy</w:t>
            </w:r>
          </w:p>
        </w:tc>
        <w:tc>
          <w:tcPr>
            <w:tcW w:w="940" w:type="dxa"/>
            <w:tcBorders>
              <w:bottom w:val="single" w:color="000000" w:sz="4" w:space="0"/>
            </w:tcBorders>
            <w:vAlign w:val="center"/>
          </w:tcPr>
          <w:p>
            <w:pPr>
              <w:spacing w:before="20" w:after="20"/>
              <w:ind w:firstLine="0"/>
              <w:jc w:val="center"/>
            </w:pPr>
            <w:r>
              <w:rPr>
                <w:rFonts w:ascii="Times New Roman" w:hAnsi="Times New Roman"/>
                <w:b/>
                <w:sz w:val="17"/>
              </w:rPr>
              <w:t xml:space="preserve">ROC-AUC</w:t>
            </w:r>
          </w:p>
        </w:tc>
        <w:tc>
          <w:tcPr>
            <w:tcW w:w="940" w:type="dxa"/>
            <w:tcBorders>
              <w:bottom w:val="single" w:color="000000" w:sz="4" w:space="0"/>
            </w:tcBorders>
            <w:vAlign w:val="center"/>
          </w:tcPr>
          <w:p>
            <w:pPr>
              <w:spacing w:before="20" w:after="20"/>
              <w:ind w:firstLine="0"/>
              <w:jc w:val="center"/>
            </w:pPr>
            <w:r>
              <w:rPr>
                <w:rFonts w:ascii="Times New Roman" w:hAnsi="Times New Roman"/>
                <w:b/>
                <w:sz w:val="17"/>
              </w:rPr>
              <w:t xml:space="preserve">PR-AUC</w:t>
            </w:r>
          </w:p>
        </w:tc>
        <w:tc>
          <w:tcPr>
            <w:tcW w:w="940" w:type="dxa"/>
            <w:tcBorders>
              <w:bottom w:val="single" w:color="000000" w:sz="4" w:space="0"/>
            </w:tcBorders>
            <w:vAlign w:val="center"/>
          </w:tcPr>
          <w:p>
            <w:pPr>
              <w:spacing w:before="20" w:after="20"/>
              <w:ind w:firstLine="0"/>
              <w:jc w:val="center"/>
            </w:pPr>
            <w:r>
              <w:rPr>
                <w:rFonts w:ascii="Times New Roman" w:hAnsi="Times New Roman"/>
                <w:b/>
                <w:sz w:val="17"/>
              </w:rPr>
              <w:t xml:space="preserve">F1</w:t>
            </w:r>
          </w:p>
        </w:tc>
      </w:tr>
      <w:tr>
        <w:trPr>
          <w:cantSplit/>
          <w:jc w:val="center"/>
        </w:trPr>
        <w:tc>
          <w:tcPr>
            <w:tcW w:w="2100" w:type="dxa"/>
            <w:vAlign w:val="center"/>
          </w:tcPr>
          <w:p>
            <w:pPr>
              <w:keepNext/>
              <w:spacing w:before="20" w:after="20"/>
              <w:ind w:firstLine="0"/>
              <w:jc w:val="left"/>
            </w:pPr>
            <w:r>
              <w:rPr>
                <w:rFonts w:ascii="Times New Roman" w:hAnsi="Times New Roman"/>
                <w:sz w:val="17"/>
              </w:rPr>
              <w:t xml:space="preserve">Random Forest</w:t>
            </w:r>
          </w:p>
        </w:tc>
        <w:tc>
          <w:tcPr>
            <w:tcW w:w="940" w:type="dxa"/>
            <w:vAlign w:val="center"/>
          </w:tcPr>
          <w:p>
            <w:pPr>
              <w:keepNext/>
              <w:spacing w:before="20" w:after="20"/>
              <w:ind w:firstLine="0"/>
              <w:jc w:val="center"/>
            </w:pPr>
            <w:r>
              <w:rPr>
                <w:rFonts w:ascii="Times New Roman" w:hAnsi="Times New Roman"/>
                <w:sz w:val="17"/>
              </w:rPr>
              <w:t xml:space="preserve">23</w:t>
            </w:r>
          </w:p>
        </w:tc>
        <w:tc>
          <w:tcPr>
            <w:tcW w:w="940" w:type="dxa"/>
            <w:vAlign w:val="center"/>
          </w:tcPr>
          <w:p>
            <w:pPr>
              <w:keepNext/>
              <w:spacing w:before="20" w:after="20"/>
              <w:ind w:firstLine="0"/>
              <w:jc w:val="center"/>
            </w:pPr>
            <w:r>
              <w:rPr>
                <w:rFonts w:ascii="Times New Roman" w:hAnsi="Times New Roman"/>
                <w:sz w:val="17"/>
              </w:rPr>
              <w:t xml:space="preserve">84.40</w:t>
            </w:r>
          </w:p>
        </w:tc>
        <w:tc>
          <w:tcPr>
            <w:tcW w:w="940" w:type="dxa"/>
            <w:vAlign w:val="center"/>
          </w:tcPr>
          <w:p>
            <w:pPr>
              <w:keepNext/>
              <w:spacing w:before="20" w:after="20"/>
              <w:ind w:firstLine="0"/>
              <w:jc w:val="center"/>
            </w:pPr>
            <w:r>
              <w:rPr>
                <w:rFonts w:ascii="Times New Roman" w:hAnsi="Times New Roman"/>
                <w:sz w:val="17"/>
              </w:rPr>
              <w:t xml:space="preserve">92.78</w:t>
            </w:r>
          </w:p>
        </w:tc>
        <w:tc>
          <w:tcPr>
            <w:tcW w:w="940" w:type="dxa"/>
            <w:vAlign w:val="center"/>
          </w:tcPr>
          <w:p>
            <w:pPr>
              <w:keepNext/>
              <w:spacing w:before="20" w:after="20"/>
              <w:ind w:firstLine="0"/>
              <w:jc w:val="center"/>
            </w:pPr>
            <w:r>
              <w:rPr>
                <w:rFonts w:ascii="Times New Roman" w:hAnsi="Times New Roman"/>
                <w:sz w:val="17"/>
              </w:rPr>
              <w:t xml:space="preserve">93.52</w:t>
            </w:r>
          </w:p>
        </w:tc>
        <w:tc>
          <w:tcPr>
            <w:tcW w:w="940" w:type="dxa"/>
            <w:vAlign w:val="center"/>
          </w:tcPr>
          <w:p>
            <w:pPr>
              <w:keepNext/>
              <w:spacing w:before="20" w:after="20"/>
              <w:ind w:firstLine="0"/>
              <w:jc w:val="center"/>
            </w:pPr>
            <w:r>
              <w:rPr>
                <w:rFonts w:ascii="Times New Roman" w:hAnsi="Times New Roman"/>
                <w:sz w:val="17"/>
              </w:rPr>
              <w:t xml:space="preserve">84.62</w:t>
            </w:r>
          </w:p>
        </w:tc>
      </w:tr>
      <w:tr>
        <w:trPr>
          <w:cantSplit/>
          <w:jc w:val="center"/>
        </w:trPr>
        <w:tc>
          <w:tcPr>
            <w:tcW w:w="2100" w:type="dxa"/>
            <w:vAlign w:val="center"/>
          </w:tcPr>
          <w:p>
            <w:pPr>
              <w:keepNext/>
              <w:spacing w:before="20" w:after="20"/>
              <w:ind w:firstLine="0"/>
              <w:jc w:val="left"/>
            </w:pPr>
            <w:r>
              <w:rPr>
                <w:rFonts w:ascii="Times New Roman" w:hAnsi="Times New Roman"/>
                <w:sz w:val="17"/>
              </w:rPr>
              <w:t xml:space="preserve">XGBoost</w:t>
            </w:r>
          </w:p>
        </w:tc>
        <w:tc>
          <w:tcPr>
            <w:tcW w:w="940" w:type="dxa"/>
            <w:vAlign w:val="center"/>
          </w:tcPr>
          <w:p>
            <w:pPr>
              <w:keepNext/>
              <w:spacing w:before="20" w:after="20"/>
              <w:ind w:firstLine="0"/>
              <w:jc w:val="center"/>
            </w:pPr>
            <w:r>
              <w:rPr>
                <w:rFonts w:ascii="Times New Roman" w:hAnsi="Times New Roman"/>
                <w:sz w:val="17"/>
              </w:rPr>
              <w:t xml:space="preserve">23</w:t>
            </w:r>
          </w:p>
        </w:tc>
        <w:tc>
          <w:tcPr>
            <w:tcW w:w="940" w:type="dxa"/>
            <w:vAlign w:val="center"/>
          </w:tcPr>
          <w:p>
            <w:pPr>
              <w:keepNext/>
              <w:spacing w:before="20" w:after="20"/>
              <w:ind w:firstLine="0"/>
              <w:jc w:val="center"/>
            </w:pPr>
            <w:r>
              <w:rPr>
                <w:rFonts w:ascii="Times New Roman" w:hAnsi="Times New Roman"/>
                <w:sz w:val="17"/>
              </w:rPr>
              <w:t xml:space="preserve">85.30</w:t>
            </w:r>
          </w:p>
        </w:tc>
        <w:tc>
          <w:tcPr>
            <w:tcW w:w="940" w:type="dxa"/>
            <w:vAlign w:val="center"/>
          </w:tcPr>
          <w:p>
            <w:pPr>
              <w:keepNext/>
              <w:spacing w:before="20" w:after="20"/>
              <w:ind w:firstLine="0"/>
              <w:jc w:val="center"/>
            </w:pPr>
            <w:r>
              <w:rPr>
                <w:rFonts w:ascii="Times New Roman" w:hAnsi="Times New Roman"/>
                <w:sz w:val="17"/>
              </w:rPr>
              <w:t xml:space="preserve">93.64</w:t>
            </w:r>
          </w:p>
        </w:tc>
        <w:tc>
          <w:tcPr>
            <w:tcW w:w="940" w:type="dxa"/>
            <w:vAlign w:val="center"/>
          </w:tcPr>
          <w:p>
            <w:pPr>
              <w:keepNext/>
              <w:spacing w:before="20" w:after="20"/>
              <w:ind w:firstLine="0"/>
              <w:jc w:val="center"/>
            </w:pPr>
            <w:r>
              <w:rPr>
                <w:rFonts w:ascii="Times New Roman" w:hAnsi="Times New Roman"/>
                <w:sz w:val="17"/>
              </w:rPr>
              <w:t xml:space="preserve">94.38</w:t>
            </w:r>
          </w:p>
        </w:tc>
        <w:tc>
          <w:tcPr>
            <w:tcW w:w="940" w:type="dxa"/>
            <w:vAlign w:val="center"/>
          </w:tcPr>
          <w:p>
            <w:pPr>
              <w:keepNext/>
              <w:spacing w:before="20" w:after="20"/>
              <w:ind w:firstLine="0"/>
              <w:jc w:val="center"/>
            </w:pPr>
            <w:r>
              <w:rPr>
                <w:rFonts w:ascii="Times New Roman" w:hAnsi="Times New Roman"/>
                <w:sz w:val="17"/>
              </w:rPr>
              <w:t xml:space="preserve">85.49</w:t>
            </w:r>
          </w:p>
        </w:tc>
      </w:tr>
      <w:tr>
        <w:trPr>
          <w:cantSplit/>
          <w:jc w:val="center"/>
        </w:trPr>
        <w:tc>
          <w:tcPr>
            <w:tcW w:w="2100" w:type="dxa"/>
            <w:vAlign w:val="center"/>
          </w:tcPr>
          <w:p>
            <w:pPr>
              <w:keepNext/>
              <w:spacing w:before="20" w:after="20"/>
              <w:ind w:firstLine="0"/>
              <w:jc w:val="left"/>
            </w:pPr>
            <w:r>
              <w:rPr>
                <w:rFonts w:ascii="Times New Roman" w:hAnsi="Times New Roman"/>
                <w:sz w:val="17"/>
              </w:rPr>
              <w:t xml:space="preserve">CatBoost</w:t>
            </w:r>
          </w:p>
        </w:tc>
        <w:tc>
          <w:tcPr>
            <w:tcW w:w="940" w:type="dxa"/>
            <w:vAlign w:val="center"/>
          </w:tcPr>
          <w:p>
            <w:pPr>
              <w:keepNext/>
              <w:spacing w:before="20" w:after="20"/>
              <w:ind w:firstLine="0"/>
              <w:jc w:val="center"/>
            </w:pPr>
            <w:r>
              <w:rPr>
                <w:rFonts w:ascii="Times New Roman" w:hAnsi="Times New Roman"/>
                <w:sz w:val="17"/>
              </w:rPr>
              <w:t xml:space="preserve">23</w:t>
            </w:r>
          </w:p>
        </w:tc>
        <w:tc>
          <w:tcPr>
            <w:tcW w:w="940" w:type="dxa"/>
            <w:vAlign w:val="center"/>
          </w:tcPr>
          <w:p>
            <w:pPr>
              <w:keepNext/>
              <w:spacing w:before="20" w:after="20"/>
              <w:ind w:firstLine="0"/>
              <w:jc w:val="center"/>
            </w:pPr>
            <w:r>
              <w:rPr>
                <w:rFonts w:ascii="Times New Roman" w:hAnsi="Times New Roman"/>
                <w:sz w:val="17"/>
              </w:rPr>
              <w:t xml:space="preserve">85.00</w:t>
            </w:r>
          </w:p>
        </w:tc>
        <w:tc>
          <w:tcPr>
            <w:tcW w:w="940" w:type="dxa"/>
            <w:vAlign w:val="center"/>
          </w:tcPr>
          <w:p>
            <w:pPr>
              <w:keepNext/>
              <w:spacing w:before="20" w:after="20"/>
              <w:ind w:firstLine="0"/>
              <w:jc w:val="center"/>
            </w:pPr>
            <w:r>
              <w:rPr>
                <w:rFonts w:ascii="Times New Roman" w:hAnsi="Times New Roman"/>
                <w:sz w:val="17"/>
              </w:rPr>
              <w:t xml:space="preserve">93.78</w:t>
            </w:r>
          </w:p>
        </w:tc>
        <w:tc>
          <w:tcPr>
            <w:tcW w:w="940" w:type="dxa"/>
            <w:vAlign w:val="center"/>
          </w:tcPr>
          <w:p>
            <w:pPr>
              <w:keepNext/>
              <w:spacing w:before="20" w:after="20"/>
              <w:ind w:firstLine="0"/>
              <w:jc w:val="center"/>
            </w:pPr>
            <w:r>
              <w:rPr>
                <w:rFonts w:ascii="Times New Roman" w:hAnsi="Times New Roman"/>
                <w:sz w:val="17"/>
              </w:rPr>
              <w:t xml:space="preserve">94.45</w:t>
            </w:r>
          </w:p>
        </w:tc>
        <w:tc>
          <w:tcPr>
            <w:tcW w:w="940" w:type="dxa"/>
            <w:vAlign w:val="center"/>
          </w:tcPr>
          <w:p>
            <w:pPr>
              <w:keepNext/>
              <w:spacing w:before="20" w:after="20"/>
              <w:ind w:firstLine="0"/>
              <w:jc w:val="center"/>
            </w:pPr>
            <w:r>
              <w:rPr>
                <w:rFonts w:ascii="Times New Roman" w:hAnsi="Times New Roman"/>
                <w:sz w:val="17"/>
              </w:rPr>
              <w:t xml:space="preserve">85.18</w:t>
            </w:r>
          </w:p>
        </w:tc>
      </w:tr>
      <w:tr>
        <w:trPr>
          <w:cantSplit/>
          <w:jc w:val="center"/>
        </w:trPr>
        <w:tc>
          <w:tcPr>
            <w:tcW w:w="2100" w:type="dxa"/>
            <w:vAlign w:val="center"/>
          </w:tcPr>
          <w:p>
            <w:pPr>
              <w:keepNext/>
              <w:spacing w:before="20" w:after="20"/>
              <w:ind w:firstLine="0"/>
              <w:jc w:val="left"/>
            </w:pPr>
            <w:r>
              <w:rPr>
                <w:rFonts w:ascii="Times New Roman" w:hAnsi="Times New Roman"/>
                <w:sz w:val="17"/>
              </w:rPr>
              <w:t xml:space="preserve">LightGBM</w:t>
            </w:r>
          </w:p>
        </w:tc>
        <w:tc>
          <w:tcPr>
            <w:tcW w:w="940" w:type="dxa"/>
            <w:vAlign w:val="center"/>
          </w:tcPr>
          <w:p>
            <w:pPr>
              <w:keepNext/>
              <w:spacing w:before="20" w:after="20"/>
              <w:ind w:firstLine="0"/>
              <w:jc w:val="center"/>
            </w:pPr>
            <w:r>
              <w:rPr>
                <w:rFonts w:ascii="Times New Roman" w:hAnsi="Times New Roman"/>
                <w:sz w:val="17"/>
              </w:rPr>
              <w:t xml:space="preserve">23</w:t>
            </w:r>
          </w:p>
        </w:tc>
        <w:tc>
          <w:tcPr>
            <w:tcW w:w="940" w:type="dxa"/>
            <w:vAlign w:val="center"/>
          </w:tcPr>
          <w:p>
            <w:pPr>
              <w:keepNext/>
              <w:spacing w:before="20" w:after="20"/>
              <w:ind w:firstLine="0"/>
              <w:jc w:val="center"/>
            </w:pPr>
            <w:r>
              <w:rPr>
                <w:rFonts w:ascii="Times New Roman" w:hAnsi="Times New Roman"/>
                <w:sz w:val="17"/>
              </w:rPr>
              <w:t xml:space="preserve">85.90</w:t>
            </w:r>
          </w:p>
        </w:tc>
        <w:tc>
          <w:tcPr>
            <w:tcW w:w="940" w:type="dxa"/>
            <w:vAlign w:val="center"/>
          </w:tcPr>
          <w:p>
            <w:pPr>
              <w:keepNext/>
              <w:spacing w:before="20" w:after="20"/>
              <w:ind w:firstLine="0"/>
              <w:jc w:val="center"/>
            </w:pPr>
            <w:r>
              <w:rPr>
                <w:rFonts w:ascii="Times New Roman" w:hAnsi="Times New Roman"/>
                <w:sz w:val="17"/>
              </w:rPr>
              <w:t xml:space="preserve">93.78</w:t>
            </w:r>
          </w:p>
        </w:tc>
        <w:tc>
          <w:tcPr>
            <w:tcW w:w="940" w:type="dxa"/>
            <w:vAlign w:val="center"/>
          </w:tcPr>
          <w:p>
            <w:pPr>
              <w:keepNext/>
              <w:spacing w:before="20" w:after="20"/>
              <w:ind w:firstLine="0"/>
              <w:jc w:val="center"/>
            </w:pPr>
            <w:r>
              <w:rPr>
                <w:rFonts w:ascii="Times New Roman" w:hAnsi="Times New Roman"/>
                <w:sz w:val="17"/>
              </w:rPr>
              <w:t xml:space="preserve">94.52</w:t>
            </w:r>
          </w:p>
        </w:tc>
        <w:tc>
          <w:tcPr>
            <w:tcW w:w="940" w:type="dxa"/>
            <w:vAlign w:val="center"/>
          </w:tcPr>
          <w:p>
            <w:pPr>
              <w:keepNext/>
              <w:spacing w:before="20" w:after="20"/>
              <w:ind w:firstLine="0"/>
              <w:jc w:val="center"/>
            </w:pPr>
            <w:r>
              <w:rPr>
                <w:rFonts w:ascii="Times New Roman" w:hAnsi="Times New Roman"/>
                <w:sz w:val="17"/>
              </w:rPr>
              <w:t xml:space="preserve">86.00</w:t>
            </w:r>
          </w:p>
        </w:tc>
      </w:tr>
      <w:tr>
        <w:trPr>
          <w:cantSplit/>
          <w:jc w:val="center"/>
        </w:trPr>
        <w:tc>
          <w:tcPr>
            <w:tcW w:w="2100" w:type="dxa"/>
            <w:vAlign w:val="center"/>
          </w:tcPr>
          <w:p>
            <w:pPr>
              <w:keepNext/>
              <w:spacing w:before="20" w:after="20"/>
              <w:ind w:firstLine="0"/>
              <w:jc w:val="left"/>
            </w:pPr>
            <w:r>
              <w:rPr>
                <w:rFonts w:ascii="Times New Roman" w:hAnsi="Times New Roman"/>
                <w:sz w:val="17"/>
              </w:rPr>
              <w:t xml:space="preserve">DistilBERT-only</w:t>
            </w:r>
          </w:p>
        </w:tc>
        <w:tc>
          <w:tcPr>
            <w:tcW w:w="940" w:type="dxa"/>
            <w:vAlign w:val="center"/>
          </w:tcPr>
          <w:p>
            <w:pPr>
              <w:keepNext/>
              <w:spacing w:before="20" w:after="20"/>
              <w:ind w:firstLine="0"/>
              <w:jc w:val="center"/>
            </w:pPr>
            <w:r>
              <w:rPr>
                <w:rFonts w:ascii="Times New Roman" w:hAnsi="Times New Roman"/>
                <w:sz w:val="17"/>
              </w:rPr>
              <w:t xml:space="preserve">768</w:t>
            </w:r>
          </w:p>
        </w:tc>
        <w:tc>
          <w:tcPr>
            <w:tcW w:w="940" w:type="dxa"/>
            <w:vAlign w:val="center"/>
          </w:tcPr>
          <w:p>
            <w:pPr>
              <w:keepNext/>
              <w:spacing w:before="20" w:after="20"/>
              <w:ind w:firstLine="0"/>
              <w:jc w:val="center"/>
            </w:pPr>
            <w:r>
              <w:rPr>
                <w:rFonts w:ascii="Times New Roman" w:hAnsi="Times New Roman"/>
                <w:sz w:val="17"/>
              </w:rPr>
              <w:t xml:space="preserve">82.20</w:t>
            </w:r>
          </w:p>
        </w:tc>
        <w:tc>
          <w:tcPr>
            <w:tcW w:w="940" w:type="dxa"/>
            <w:vAlign w:val="center"/>
          </w:tcPr>
          <w:p>
            <w:pPr>
              <w:keepNext/>
              <w:spacing w:before="20" w:after="20"/>
              <w:ind w:firstLine="0"/>
              <w:jc w:val="center"/>
            </w:pPr>
            <w:r>
              <w:rPr>
                <w:rFonts w:ascii="Times New Roman" w:hAnsi="Times New Roman"/>
                <w:sz w:val="17"/>
              </w:rPr>
              <w:t xml:space="preserve">90.73</w:t>
            </w:r>
          </w:p>
        </w:tc>
        <w:tc>
          <w:tcPr>
            <w:tcW w:w="940" w:type="dxa"/>
            <w:vAlign w:val="center"/>
          </w:tcPr>
          <w:p>
            <w:pPr>
              <w:keepNext/>
              <w:spacing w:before="20" w:after="20"/>
              <w:ind w:firstLine="0"/>
              <w:jc w:val="center"/>
            </w:pPr>
            <w:r>
              <w:rPr>
                <w:rFonts w:ascii="Times New Roman" w:hAnsi="Times New Roman"/>
                <w:sz w:val="17"/>
              </w:rPr>
              <w:t xml:space="preserve">90.63</w:t>
            </w:r>
          </w:p>
        </w:tc>
        <w:tc>
          <w:tcPr>
            <w:tcW w:w="940" w:type="dxa"/>
            <w:vAlign w:val="center"/>
          </w:tcPr>
          <w:p>
            <w:pPr>
              <w:keepNext/>
              <w:spacing w:before="20" w:after="20"/>
              <w:ind w:firstLine="0"/>
              <w:jc w:val="center"/>
            </w:pPr>
            <w:r>
              <w:rPr>
                <w:rFonts w:ascii="Times New Roman" w:hAnsi="Times New Roman"/>
                <w:sz w:val="17"/>
              </w:rPr>
              <w:t xml:space="preserve">82.72</w:t>
            </w:r>
          </w:p>
        </w:tc>
      </w:tr>
      <w:tr>
        <w:trPr>
          <w:cantSplit/>
          <w:jc w:val="center"/>
        </w:trPr>
        <w:tc>
          <w:tcPr>
            <w:tcW w:w="2100" w:type="dxa"/>
            <w:vAlign w:val="center"/>
          </w:tcPr>
          <w:p>
            <w:pPr>
              <w:keepNext/>
              <w:spacing w:before="20" w:after="20"/>
              <w:ind w:firstLine="0"/>
              <w:jc w:val="left"/>
            </w:pPr>
            <w:r>
              <w:rPr>
                <w:rFonts w:ascii="Times New Roman" w:hAnsi="Times New Roman"/>
                <w:b/>
                <w:sz w:val="17"/>
              </w:rPr>
              <w:t xml:space="preserve">PhishXpert Hybrid</w:t>
            </w:r>
          </w:p>
        </w:tc>
        <w:tc>
          <w:tcPr>
            <w:tcW w:w="940" w:type="dxa"/>
            <w:vAlign w:val="center"/>
          </w:tcPr>
          <w:p>
            <w:pPr>
              <w:keepNext/>
              <w:spacing w:before="20" w:after="20"/>
              <w:ind w:firstLine="0"/>
              <w:jc w:val="center"/>
            </w:pPr>
            <w:r>
              <w:rPr>
                <w:rFonts w:ascii="Times New Roman" w:hAnsi="Times New Roman"/>
                <w:b/>
                <w:sz w:val="17"/>
              </w:rPr>
              <w:t xml:space="preserve">791</w:t>
            </w:r>
          </w:p>
        </w:tc>
        <w:tc>
          <w:tcPr>
            <w:tcW w:w="940" w:type="dxa"/>
            <w:vAlign w:val="center"/>
          </w:tcPr>
          <w:p>
            <w:pPr>
              <w:keepNext/>
              <w:spacing w:before="20" w:after="20"/>
              <w:ind w:firstLine="0"/>
              <w:jc w:val="center"/>
            </w:pPr>
            <w:r>
              <w:rPr>
                <w:rFonts w:ascii="Times New Roman" w:hAnsi="Times New Roman"/>
                <w:b/>
                <w:sz w:val="17"/>
              </w:rPr>
              <w:t xml:space="preserve">88.30</w:t>
            </w:r>
          </w:p>
        </w:tc>
        <w:tc>
          <w:tcPr>
            <w:tcW w:w="940" w:type="dxa"/>
            <w:vAlign w:val="center"/>
          </w:tcPr>
          <w:p>
            <w:pPr>
              <w:keepNext/>
              <w:spacing w:before="20" w:after="20"/>
              <w:ind w:firstLine="0"/>
              <w:jc w:val="center"/>
            </w:pPr>
            <w:r>
              <w:rPr>
                <w:rFonts w:ascii="Times New Roman" w:hAnsi="Times New Roman"/>
                <w:b/>
                <w:sz w:val="17"/>
              </w:rPr>
              <w:t xml:space="preserve">95.54</w:t>
            </w:r>
          </w:p>
        </w:tc>
        <w:tc>
          <w:tcPr>
            <w:tcW w:w="940" w:type="dxa"/>
            <w:vAlign w:val="center"/>
          </w:tcPr>
          <w:p>
            <w:pPr>
              <w:keepNext/>
              <w:spacing w:before="20" w:after="20"/>
              <w:ind w:firstLine="0"/>
              <w:jc w:val="center"/>
            </w:pPr>
            <w:r>
              <w:rPr>
                <w:rFonts w:ascii="Times New Roman" w:hAnsi="Times New Roman"/>
                <w:b/>
                <w:sz w:val="17"/>
              </w:rPr>
              <w:t xml:space="preserve">96.07</w:t>
            </w:r>
          </w:p>
        </w:tc>
        <w:tc>
          <w:tcPr>
            <w:tcW w:w="940" w:type="dxa"/>
            <w:vAlign w:val="center"/>
          </w:tcPr>
          <w:p>
            <w:pPr>
              <w:keepNext/>
              <w:spacing w:before="20" w:after="20"/>
              <w:ind w:firstLine="0"/>
              <w:jc w:val="center"/>
            </w:pPr>
            <w:r>
              <w:rPr>
                <w:rFonts w:ascii="Times New Roman" w:hAnsi="Times New Roman"/>
                <w:b/>
                <w:sz w:val="17"/>
              </w:rPr>
              <w:t xml:space="preserve">88.52</w:t>
            </w:r>
          </w:p>
        </w:tc>
      </w:tr>
    </w:tbl>
    <w:p>
      <w:pPr>
        <w:pStyle w:val="74"/>
        <w:jc w:val="center"/>
      </w:pPr>
      <w:r>
        <w:rPr>
          <w:rFonts w:ascii="Times New Roman" w:hAnsi="Times New Roman"/>
          <w:i/>
          <w:sz w:val="20"/>
        </w:rPr>
        <w:t xml:space="preserve">Table 7: Controlled model comparison on the same 1,000-page D1 test set (values in %).</w:t>
      </w:r>
    </w:p>
    <w:p>
      <w:pPr>
        <w:pStyle w:val="3"/>
        <w:ind w:firstLine="0"/>
        <w:jc w:val="left"/>
      </w:pPr>
      <w:r>
        <w:rPr>
          <w:rFonts w:ascii="Times New Roman" w:hAnsi="Times New Roman"/>
          <w:b/>
          <w:sz w:val="20"/>
        </w:rPr>
        <w:t xml:space="preserve">5.5  Feature Importance</w:t>
      </w:r>
    </w:p>
    <w:p>
      <w:pPr>
        <w:ind w:firstLine="0"/>
      </w:pPr>
      <w:r>
        <w:rPr>
          <w:rFonts w:ascii="Times New Roman" w:hAnsi="Times New Roman"/>
          <w:sz w:val="20"/>
        </w:rPr>
        <w:t xml:space="preserve">Global TreeSHAP analysis was carried out on 500 sampled instances using the trained LightGBM model. As Figure 8 shows, the largest mean absolute contributions came from the external-link ratio, URL entropy, IP-address presence, URL length, HTTPS and the external-link count. These magnitudes show how strongly each feature contributes, not whether it raises or lowers the phishing probability.</w:t>
      </w:r>
    </w:p>
    <w:p>
      <w:pPr>
        <w:keepNext/>
        <w:spacing w:before="200" w:after="120"/>
        <w:ind w:firstLine="0"/>
        <w:jc w:val="center"/>
      </w:pPr>
      <w:r>
        <w:drawing>
          <wp:inline distT="0" distB="0" distL="0" distR="0">
            <wp:extent cx="3108960" cy="1299266"/>
            <wp:effectExtent l="0" t="0" r="0" b="0"/>
            <wp:docPr id="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8.png"/>
                    <pic:cNvPicPr>
                      <a:picLocks noChangeAspect="1"/>
                    </pic:cNvPicPr>
                  </pic:nvPicPr>
                  <pic:blipFill>
                    <a:blip r:embed="rIdImg8"/>
                    <a:stretch>
                      <a:fillRect/>
                    </a:stretch>
                  </pic:blipFill>
                  <pic:spPr>
                    <a:xfrm>
                      <a:off x="0" y="0"/>
                      <a:ext cx="3108960" cy="1299266"/>
                    </a:xfrm>
                    <a:prstGeom prst="rect">
                      <a:avLst/>
                    </a:prstGeom>
                  </pic:spPr>
                </pic:pic>
              </a:graphicData>
            </a:graphic>
          </wp:inline>
        </w:drawing>
      </w:r>
    </w:p>
    <w:p>
      <w:pPr>
        <w:pStyle w:val="74"/>
        <w:jc w:val="center"/>
      </w:pPr>
      <w:r>
        <w:rPr>
          <w:rFonts w:ascii="Times New Roman" w:hAnsi="Times New Roman"/>
          <w:i/>
          <w:sz w:val="20"/>
        </w:rPr>
        <w:t xml:space="preserve">Figure 8: Global TreeSHAP importance (mean absolute SHAP value) for the hybrid model.</w:t>
      </w:r>
    </w:p>
    <w:p>
      <w:pPr>
        <w:pStyle w:val="3"/>
        <w:ind w:firstLine="0"/>
        <w:jc w:val="left"/>
      </w:pPr>
      <w:r>
        <w:rPr>
          <w:rFonts w:ascii="Times New Roman" w:hAnsi="Times New Roman"/>
          <w:b/>
          <w:sz w:val="20"/>
        </w:rPr>
        <w:t xml:space="preserve">5.6  Ablation Study</w:t>
      </w:r>
    </w:p>
    <w:p>
      <w:pPr>
        <w:ind w:firstLine="0"/>
      </w:pPr>
      <w:r>
        <w:rPr>
          <w:rFonts w:ascii="Times New Roman" w:hAnsi="Times New Roman"/>
          <w:sz w:val="20"/>
        </w:rPr>
        <w:t xml:space="preserve">The last three rows of Table 7 double as a controlled ablation, since they use the same split and the same LightGBM classifier with 23, 768 and 791 features. Fusion lifts accuracy from 85.90% (engineered only) and 82.20% (DistilBERT only) to 88.30%, ROC-AUC from 93.78% and 90.73% to 95.54%, and PR-AUC from 94.52% and 90.63% to 96.07%. The gain over the engineered features is meaningful as a component-level result, but it is not a claim of universal superiority.</w:t>
      </w:r>
    </w:p>
    <w:p>
      <w:pPr>
        <w:pStyle w:val="3"/>
        <w:ind w:firstLine="0"/>
        <w:jc w:val="left"/>
      </w:pPr>
      <w:r>
        <w:rPr>
          <w:rFonts w:ascii="Times New Roman" w:hAnsi="Times New Roman"/>
          <w:b/>
          <w:sz w:val="20"/>
        </w:rPr>
        <w:t xml:space="preserve">5.7  External Validation</w:t>
      </w:r>
    </w:p>
    <w:p>
      <w:pPr>
        <w:ind w:firstLine="0"/>
      </w:pPr>
      <w:r>
        <w:rPr>
          <w:rFonts w:ascii="Times New Roman" w:hAnsi="Times New Roman"/>
          <w:sz w:val="20"/>
        </w:rPr>
        <w:t xml:space="preserve">Table 8 shows what happens when the D1-trained hybrid is applied, without retraining, to the 3,000-page CompPhish sample.</w:t>
      </w:r>
    </w:p>
    <w:tbl>
      <w:tblPr>
        <w:tblStyle w:val="29"/>
        <w:tblW w:w="680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1900"/>
        <w:gridCol w:w="1100"/>
        <w:gridCol w:w="1900"/>
        <w:gridCol w:w="1900"/>
      </w:tblGrid>
      <w:tr>
        <w:trPr>
          <w:cantSplit/>
          <w:tblHeader/>
          <w:jc w:val="center"/>
        </w:trPr>
        <w:tc>
          <w:tcPr>
            <w:tcW w:w="1900" w:type="dxa"/>
            <w:tcBorders>
              <w:bottom w:val="single" w:color="000000" w:sz="4" w:space="0"/>
            </w:tcBorders>
            <w:vAlign w:val="center"/>
          </w:tcPr>
          <w:p>
            <w:pPr>
              <w:spacing w:before="20" w:after="20"/>
              <w:ind w:firstLine="0"/>
              <w:jc w:val="left"/>
            </w:pPr>
            <w:r>
              <w:rPr>
                <w:rFonts w:ascii="Times New Roman" w:hAnsi="Times New Roman"/>
                <w:b/>
                <w:sz w:val="17"/>
              </w:rPr>
              <w:t xml:space="preserve">Evaluation</w:t>
            </w:r>
          </w:p>
        </w:tc>
        <w:tc>
          <w:tcPr>
            <w:tcW w:w="1100" w:type="dxa"/>
            <w:tcBorders>
              <w:bottom w:val="single" w:color="000000" w:sz="4" w:space="0"/>
            </w:tcBorders>
            <w:vAlign w:val="center"/>
          </w:tcPr>
          <w:p>
            <w:pPr>
              <w:spacing w:before="20" w:after="20"/>
              <w:ind w:firstLine="0"/>
              <w:jc w:val="center"/>
            </w:pPr>
            <w:r>
              <w:rPr>
                <w:rFonts w:ascii="Times New Roman" w:hAnsi="Times New Roman"/>
                <w:b/>
                <w:sz w:val="17"/>
              </w:rPr>
              <w:t xml:space="preserve">Training data</w:t>
            </w:r>
          </w:p>
        </w:tc>
        <w:tc>
          <w:tcPr>
            <w:tcW w:w="1900" w:type="dxa"/>
            <w:tcBorders>
              <w:bottom w:val="single" w:color="000000" w:sz="4" w:space="0"/>
            </w:tcBorders>
            <w:vAlign w:val="center"/>
          </w:tcPr>
          <w:p>
            <w:pPr>
              <w:spacing w:before="20" w:after="20"/>
              <w:ind w:firstLine="0"/>
              <w:jc w:val="center"/>
            </w:pPr>
            <w:r>
              <w:rPr>
                <w:rFonts w:ascii="Times New Roman" w:hAnsi="Times New Roman"/>
                <w:b/>
                <w:sz w:val="17"/>
              </w:rPr>
              <w:t xml:space="preserve">Core performance</w:t>
            </w:r>
          </w:p>
        </w:tc>
        <w:tc>
          <w:tcPr>
            <w:tcW w:w="1900" w:type="dxa"/>
            <w:tcBorders>
              <w:bottom w:val="single" w:color="000000" w:sz="4" w:space="0"/>
            </w:tcBorders>
            <w:vAlign w:val="center"/>
          </w:tcPr>
          <w:p>
            <w:pPr>
              <w:spacing w:before="20" w:after="20"/>
              <w:ind w:firstLine="0"/>
              <w:jc w:val="center"/>
            </w:pPr>
            <w:r>
              <w:rPr>
                <w:rFonts w:ascii="Times New Roman" w:hAnsi="Times New Roman"/>
                <w:b/>
                <w:sz w:val="17"/>
              </w:rPr>
              <w:t xml:space="preserve">Additional metrics</w:t>
            </w:r>
          </w:p>
        </w:tc>
      </w:tr>
      <w:tr>
        <w:trPr>
          <w:cantSplit/>
          <w:jc w:val="center"/>
        </w:trPr>
        <w:tc>
          <w:tcPr>
            <w:tcW w:w="1900" w:type="dxa"/>
            <w:tcBorders>
              <w:bottom w:val="single" w:color="000000" w:sz="4" w:space="0"/>
            </w:tcBorders>
            <w:vAlign w:val="center"/>
          </w:tcPr>
          <w:p>
            <w:pPr>
              <w:keepNext/>
              <w:spacing w:before="20" w:after="20"/>
              <w:ind w:firstLine="0"/>
              <w:jc w:val="left"/>
            </w:pPr>
            <w:r>
              <w:rPr>
                <w:rFonts w:ascii="Times New Roman" w:hAnsi="Times New Roman"/>
                <w:sz w:val="17"/>
              </w:rPr>
              <w:t xml:space="preserve">D1 controlled test</w:t>
            </w:r>
          </w:p>
        </w:tc>
        <w:tc>
          <w:tcPr>
            <w:tcW w:w="1100" w:type="dxa"/>
            <w:tcBorders>
              <w:bottom w:val="single" w:color="000000" w:sz="4" w:space="0"/>
            </w:tcBorders>
            <w:vAlign w:val="center"/>
          </w:tcPr>
          <w:p>
            <w:pPr>
              <w:keepNext/>
              <w:spacing w:before="20" w:after="20"/>
              <w:ind w:firstLine="0"/>
              <w:jc w:val="center"/>
            </w:pPr>
            <w:r>
              <w:rPr>
                <w:rFonts w:ascii="Times New Roman" w:hAnsi="Times New Roman"/>
                <w:sz w:val="17"/>
              </w:rPr>
              <w:t xml:space="preserve">D1 only</w:t>
            </w:r>
          </w:p>
        </w:tc>
        <w:tc>
          <w:tcPr>
            <w:tcW w:w="1900" w:type="dxa"/>
            <w:tcBorders>
              <w:bottom w:val="single" w:color="000000" w:sz="4" w:space="0"/>
            </w:tcBorders>
            <w:vAlign w:val="center"/>
          </w:tcPr>
          <w:p>
            <w:pPr>
              <w:keepNext/>
              <w:spacing w:before="20" w:after="20"/>
              <w:ind w:firstLine="0"/>
              <w:jc w:val="left"/>
            </w:pPr>
            <w:r>
              <w:rPr>
                <w:rFonts w:ascii="Times New Roman" w:hAnsi="Times New Roman"/>
                <w:sz w:val="17"/>
              </w:rPr>
              <w:t xml:space="preserve">Acc 88.30%; Prec 86.90%; Recall 90.20%; F1 88.52%</w:t>
            </w:r>
          </w:p>
        </w:tc>
        <w:tc>
          <w:tcPr>
            <w:tcW w:w="1900" w:type="dxa"/>
            <w:tcBorders>
              <w:bottom w:val="single" w:color="000000" w:sz="4" w:space="0"/>
            </w:tcBorders>
            <w:vAlign w:val="center"/>
          </w:tcPr>
          <w:p>
            <w:pPr>
              <w:keepNext/>
              <w:spacing w:before="20" w:after="20"/>
              <w:ind w:firstLine="0"/>
              <w:jc w:val="left"/>
            </w:pPr>
            <w:r>
              <w:rPr>
                <w:rFonts w:ascii="Times New Roman" w:hAnsi="Times New Roman"/>
                <w:sz w:val="17"/>
              </w:rPr>
              <w:t xml:space="preserve">ROC-AUC 95.54%; PR-AUC 96.07%; Spec 86.40%</w:t>
            </w:r>
          </w:p>
        </w:tc>
      </w:tr>
      <w:tr>
        <w:trPr>
          <w:cantSplit/>
          <w:jc w:val="center"/>
        </w:trPr>
        <w:tc>
          <w:tcPr>
            <w:tcW w:w="1900" w:type="dxa"/>
            <w:vAlign w:val="center"/>
          </w:tcPr>
          <w:p>
            <w:pPr>
              <w:keepNext/>
              <w:spacing w:before="20" w:after="20"/>
              <w:ind w:firstLine="0"/>
              <w:jc w:val="left"/>
            </w:pPr>
            <w:r>
              <w:rPr>
                <w:rFonts w:ascii="Times New Roman" w:hAnsi="Times New Roman"/>
                <w:sz w:val="17"/>
              </w:rPr>
              <w:t xml:space="preserve">CompPhish external sample (3,000 usable HTML pages)</w:t>
            </w:r>
          </w:p>
        </w:tc>
        <w:tc>
          <w:tcPr>
            <w:tcW w:w="1100" w:type="dxa"/>
            <w:vAlign w:val="center"/>
          </w:tcPr>
          <w:p>
            <w:pPr>
              <w:keepNext/>
              <w:spacing w:before="20" w:after="20"/>
              <w:ind w:firstLine="0"/>
              <w:jc w:val="center"/>
            </w:pPr>
            <w:r>
              <w:rPr>
                <w:rFonts w:ascii="Times New Roman" w:hAnsi="Times New Roman"/>
                <w:sz w:val="17"/>
              </w:rPr>
              <w:t xml:space="preserve">D1 only</w:t>
            </w:r>
          </w:p>
        </w:tc>
        <w:tc>
          <w:tcPr>
            <w:tcW w:w="1900" w:type="dxa"/>
            <w:vAlign w:val="center"/>
          </w:tcPr>
          <w:p>
            <w:pPr>
              <w:keepNext/>
              <w:spacing w:before="20" w:after="20"/>
              <w:ind w:firstLine="0"/>
              <w:jc w:val="left"/>
            </w:pPr>
            <w:r>
              <w:rPr>
                <w:rFonts w:ascii="Times New Roman" w:hAnsi="Times New Roman"/>
                <w:sz w:val="17"/>
              </w:rPr>
              <w:t xml:space="preserve">Acc 68.80%; Prec 61.81%; Recall 98.40%; F1 75.93%</w:t>
            </w:r>
          </w:p>
        </w:tc>
        <w:tc>
          <w:tcPr>
            <w:tcW w:w="1900" w:type="dxa"/>
            <w:vAlign w:val="center"/>
          </w:tcPr>
          <w:p>
            <w:pPr>
              <w:keepNext/>
              <w:spacing w:before="20" w:after="20"/>
              <w:ind w:firstLine="0"/>
              <w:jc w:val="left"/>
            </w:pPr>
            <w:r>
              <w:rPr>
                <w:rFonts w:ascii="Times New Roman" w:hAnsi="Times New Roman"/>
                <w:sz w:val="17"/>
              </w:rPr>
              <w:t xml:space="preserve">ROC-AUC 83.50%; PR-AUC 78.37%; Spec 39.20%</w:t>
            </w:r>
          </w:p>
        </w:tc>
      </w:tr>
    </w:tbl>
    <w:p>
      <w:pPr>
        <w:pStyle w:val="74"/>
        <w:jc w:val="center"/>
      </w:pPr>
      <w:r>
        <w:rPr>
          <w:rFonts w:ascii="Times New Roman" w:hAnsi="Times New Roman"/>
          <w:i/>
          <w:sz w:val="20"/>
        </w:rPr>
        <w:t xml:space="preserve">Table 8: External validation of the D1-trained PhishXpert Hybrid on CompPhish.</w:t>
      </w:r>
    </w:p>
    <w:p>
      <w:pPr>
        <w:ind w:firstLine="340"/>
      </w:pPr>
      <w:r>
        <w:rPr>
          <w:rFonts w:ascii="Times New Roman" w:hAnsi="Times New Roman"/>
          <w:sz w:val="20"/>
        </w:rPr>
        <w:t xml:space="preserve">On CompPhish the model still catches almost every phishing page, but 912 of the 1,500 benign pages are flagged as phishing. We return to this result in Section 7.3.</w:t>
      </w:r>
    </w:p>
    <w:p>
      <w:pPr>
        <w:pStyle w:val="3"/>
        <w:ind w:firstLine="0"/>
        <w:jc w:val="left"/>
      </w:pPr>
      <w:r>
        <w:rPr>
          <w:rFonts w:ascii="Times New Roman" w:hAnsi="Times New Roman"/>
          <w:b/>
          <w:sz w:val="20"/>
        </w:rPr>
        <w:t xml:space="preserve">5.8  Statistical Results</w:t>
      </w:r>
    </w:p>
    <w:p>
      <w:pPr>
        <w:ind w:firstLine="0"/>
      </w:pPr>
      <w:r>
        <w:rPr>
          <w:rFonts w:ascii="Times New Roman" w:hAnsi="Times New Roman"/>
          <w:sz w:val="20"/>
        </w:rPr>
        <w:t xml:space="preserve">Bootstrap confidence intervals were calculated from 2,000 resamples of the fixed test set. For the proposed hybrid, accuracy is 0.8828 with a 95% CI of [0.8640, 0.9020], ROC-AUC is 0.9553 [0.9429, 0.9664] and MCC is 0.7669 [0.7267, 0.8045]. The accuracy interval spans almost four points, a reminder of the uncertainty in one 1,000-page test set. These intervals describe uncertainty around the observed metrics and are not a paired significance test between models.</w:t>
      </w:r>
    </w:p>
    <w:p>
      <w:pPr>
        <w:pStyle w:val="3"/>
        <w:ind w:firstLine="0"/>
        <w:jc w:val="left"/>
      </w:pPr>
      <w:r>
        <w:rPr>
          <w:rFonts w:ascii="Times New Roman" w:hAnsi="Times New Roman"/>
          <w:b/>
          <w:sz w:val="20"/>
        </w:rPr>
        <w:t xml:space="preserve">5.9  Explainability Results</w:t>
      </w:r>
    </w:p>
    <w:p>
      <w:pPr>
        <w:ind w:firstLine="0"/>
      </w:pPr>
      <w:r>
        <w:rPr>
          <w:rFonts w:ascii="Times New Roman" w:hAnsi="Times New Roman"/>
          <w:sz w:val="20"/>
        </w:rPr>
        <w:t xml:space="preserve">The deployed system combines the model score with the domain status, the available webpage evidence, retrieved cybersecurity knowledge and a natural-language explanation. This gives far more context than a bare label, but explanation quality has not yet been evaluated in a formal user study, so we report the capability rather than a measured interpretability score.</w:t>
      </w:r>
    </w:p>
    <w:p>
      <w:pPr>
        <w:pStyle w:val="2"/>
        <w:ind w:firstLine="0"/>
        <w:jc w:val="left"/>
      </w:pPr>
      <w:r>
        <w:rPr>
          <w:rFonts w:ascii="Times New Roman" w:hAnsi="Times New Roman"/>
          <w:b/>
          <w:sz w:val="24"/>
        </w:rPr>
        <w:t xml:space="preserve">6  Comparative Analysis</w:t>
      </w:r>
    </w:p>
    <w:p>
      <w:pPr>
        <w:pStyle w:val="3"/>
        <w:ind w:firstLine="0"/>
        <w:jc w:val="left"/>
      </w:pPr>
      <w:r>
        <w:rPr>
          <w:rFonts w:ascii="Times New Roman" w:hAnsi="Times New Roman"/>
          <w:b/>
          <w:sz w:val="20"/>
        </w:rPr>
        <w:t xml:space="preserve">6.1  Comparison With Published Systems</w:t>
      </w:r>
    </w:p>
    <w:p>
      <w:pPr>
        <w:ind w:firstLine="0"/>
      </w:pPr>
      <w:r>
        <w:rPr>
          <w:rFonts w:ascii="Times New Roman" w:hAnsi="Times New Roman"/>
          <w:sz w:val="20"/>
        </w:rPr>
        <w:t xml:space="preserve">Figure 9 places PhishXpert Hybrid alongside published detectors that report all four of accuracy, precision, recall and F1-score [Sahingoz et al. 2019, Rao and Pais 2019, Aljofey et al. 2022, Opara et al. 2020], with the values taken as reported in each source.</w:t>
      </w:r>
    </w:p>
    <w:p>
      <w:pPr>
        <w:keepNext/>
        <w:spacing w:before="200" w:after="120"/>
        <w:ind w:firstLine="0"/>
        <w:jc w:val="center"/>
      </w:pPr>
      <w:r>
        <w:drawing>
          <wp:inline distT="0" distB="0" distL="0" distR="0">
            <wp:extent cx="3474720" cy="1786497"/>
            <wp:effectExtent l="0" t="0" r="0" b="0"/>
            <wp:docPr id="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9.png"/>
                    <pic:cNvPicPr>
                      <a:picLocks noChangeAspect="1"/>
                    </pic:cNvPicPr>
                  </pic:nvPicPr>
                  <pic:blipFill>
                    <a:blip r:embed="rIdImg9"/>
                    <a:stretch>
                      <a:fillRect/>
                    </a:stretch>
                  </pic:blipFill>
                  <pic:spPr>
                    <a:xfrm>
                      <a:off x="0" y="0"/>
                      <a:ext cx="3474720" cy="1786497"/>
                    </a:xfrm>
                    <a:prstGeom prst="rect">
                      <a:avLst/>
                    </a:prstGeom>
                  </pic:spPr>
                </pic:pic>
              </a:graphicData>
            </a:graphic>
          </wp:inline>
        </w:drawing>
      </w:r>
    </w:p>
    <w:p>
      <w:pPr>
        <w:pStyle w:val="74"/>
        <w:jc w:val="center"/>
      </w:pPr>
      <w:r>
        <w:rPr>
          <w:rFonts w:ascii="Times New Roman" w:hAnsi="Times New Roman"/>
          <w:i/>
          <w:sz w:val="20"/>
        </w:rPr>
        <w:t xml:space="preserve">Figure 9: Performance comparison with representative phishing-detection studies. Published results use different datasets and protocols and are shown for context, not as direct head-to-head benchmarks.</w:t>
      </w:r>
    </w:p>
    <w:p>
      <w:pPr>
        <w:ind w:firstLine="340"/>
      </w:pPr>
      <w:r>
        <w:rPr>
          <w:rFonts w:ascii="Times New Roman" w:hAnsi="Times New Roman"/>
          <w:sz w:val="20"/>
        </w:rPr>
        <w:t xml:space="preserve">Our 88.30% accuracy is lower than these published values. Those studies, however, differ in datasets, partitions and protocols, and several used far larger collections, so the comparison is descriptive and no cross-study ranking is claimed.</w:t>
      </w:r>
    </w:p>
    <w:p>
      <w:pPr>
        <w:pStyle w:val="3"/>
        <w:ind w:firstLine="0"/>
        <w:jc w:val="left"/>
      </w:pPr>
      <w:r>
        <w:rPr>
          <w:rFonts w:ascii="Times New Roman" w:hAnsi="Times New Roman"/>
          <w:b/>
          <w:sz w:val="20"/>
        </w:rPr>
        <w:t xml:space="preserve">6.2  Research Gap Coverage</w:t>
      </w:r>
    </w:p>
    <w:p>
      <w:pPr>
        <w:ind w:firstLine="0"/>
      </w:pPr>
      <w:r>
        <w:rPr>
          <w:rFonts w:ascii="Times New Roman" w:hAnsi="Times New Roman"/>
          <w:sz w:val="20"/>
        </w:rPr>
        <w:t xml:space="preserve">URL-only systems can miss page semantics, HTML or visual systems need extra content or rendering, and deep models can be hard to interpret. Earlier studies (Table 1) cover URL, HTML and visual evidence in various combinations, but few combine explicit structural features with a contextual embedding of the page text inside one attributable classifier. PhishXpert fills this particular gap and adds a knowledge-grounded explanation layer. Because the comparison studies use different datasets and protocols, this describes design choices rather than evidence of superiority.</w:t>
      </w:r>
    </w:p>
    <w:p>
      <w:pPr>
        <w:pStyle w:val="2"/>
        <w:ind w:firstLine="0"/>
        <w:jc w:val="left"/>
      </w:pPr>
      <w:r>
        <w:rPr>
          <w:rFonts w:ascii="Times New Roman" w:hAnsi="Times New Roman"/>
          <w:b/>
          <w:sz w:val="24"/>
        </w:rPr>
        <w:t xml:space="preserve">7  Discussion</w:t>
      </w:r>
    </w:p>
    <w:p>
      <w:pPr>
        <w:pStyle w:val="3"/>
        <w:ind w:firstLine="0"/>
        <w:jc w:val="left"/>
      </w:pPr>
      <w:r>
        <w:rPr>
          <w:rFonts w:ascii="Times New Roman" w:hAnsi="Times New Roman"/>
          <w:b/>
          <w:sz w:val="20"/>
        </w:rPr>
        <w:t xml:space="preserve">7.1  Interpretation of Findings</w:t>
      </w:r>
    </w:p>
    <w:p>
      <w:pPr>
        <w:ind w:firstLine="0"/>
      </w:pPr>
      <w:r>
        <w:rPr>
          <w:rFonts w:ascii="Times New Roman" w:hAnsi="Times New Roman"/>
          <w:sz w:val="20"/>
        </w:rPr>
        <w:t xml:space="preserve">Fusing semantic page text with engineered evidence beats either stream alone and every controlled baseline on the same D1 test set. A plausible reason is that the engineered features describe how a page is built and where it sends the user, while the embedding captures what the page says.</w:t>
      </w:r>
    </w:p>
    <w:p>
      <w:pPr>
        <w:ind w:firstLine="340"/>
      </w:pPr>
      <w:r>
        <w:rPr>
          <w:rFonts w:ascii="Times New Roman" w:hAnsi="Times New Roman"/>
          <w:sz w:val="20"/>
        </w:rPr>
        <w:t xml:space="preserve">Still, the experiment uses a balanced 5,000-page subset and a single fixed split, so the result does not mean that the model will beat every published detector on every dataset.</w:t>
      </w:r>
    </w:p>
    <w:p>
      <w:pPr>
        <w:pStyle w:val="3"/>
        <w:ind w:firstLine="0"/>
        <w:jc w:val="left"/>
      </w:pPr>
      <w:r>
        <w:rPr>
          <w:rFonts w:ascii="Times New Roman" w:hAnsi="Times New Roman"/>
          <w:b/>
          <w:sz w:val="20"/>
        </w:rPr>
        <w:t xml:space="preserve">7.2  Theoretical and Practical Implications</w:t>
      </w:r>
    </w:p>
    <w:p>
      <w:pPr>
        <w:ind w:firstLine="0"/>
      </w:pPr>
      <w:r>
        <w:rPr>
          <w:rFonts w:ascii="Times New Roman" w:hAnsi="Times New Roman"/>
          <w:sz w:val="20"/>
        </w:rPr>
        <w:t xml:space="preserve">Methodologically, the results show that a pretrained semantic encoder can serve as a feature extractor without replacing the transparent structure of a tree-based classifier, so explicit cybersecurity features stay available for interpretation while contextual text information is added. Practically, the framework exposes a FastAPI service, a React interface and a URL-only fallback, and it explains its verdicts. Inference latency was not measured, so no real-time claim is made, and given the external results the system is best viewed as decision support rather than an automatic blocking tool.</w:t>
      </w:r>
    </w:p>
    <w:p>
      <w:pPr>
        <w:pStyle w:val="3"/>
        <w:ind w:firstLine="0"/>
        <w:jc w:val="left"/>
      </w:pPr>
      <w:r>
        <w:rPr>
          <w:rFonts w:ascii="Times New Roman" w:hAnsi="Times New Roman"/>
          <w:b/>
          <w:sz w:val="20"/>
        </w:rPr>
        <w:t xml:space="preserve">7.3  Unexpected Findings</w:t>
      </w:r>
    </w:p>
    <w:p>
      <w:pPr>
        <w:ind w:firstLine="0"/>
      </w:pPr>
      <w:r>
        <w:rPr>
          <w:rFonts w:ascii="Times New Roman" w:hAnsi="Times New Roman"/>
          <w:sz w:val="20"/>
        </w:rPr>
        <w:t xml:space="preserve">The CompPhish experiment is the most important cautionary result: recall stays at 98.40%, but specificity falls to 39.20%, with 912 false positives among 1,500 benign pages. This distribution shift shows that high in-domain performance does not guarantee strong cross-dataset calibration.</w:t>
      </w:r>
    </w:p>
    <w:p>
      <w:pPr>
        <w:pStyle w:val="3"/>
        <w:ind w:firstLine="0"/>
        <w:jc w:val="left"/>
      </w:pPr>
      <w:r>
        <w:rPr>
          <w:rFonts w:ascii="Times New Roman" w:hAnsi="Times New Roman"/>
          <w:b/>
          <w:sz w:val="20"/>
        </w:rPr>
        <w:t xml:space="preserve">7.4  Interpretation of Comparative Findings</w:t>
      </w:r>
    </w:p>
    <w:p>
      <w:pPr>
        <w:ind w:firstLine="0"/>
      </w:pPr>
      <w:r>
        <w:rPr>
          <w:rFonts w:ascii="Times New Roman" w:hAnsi="Times New Roman"/>
          <w:sz w:val="20"/>
        </w:rPr>
        <w:t xml:space="preserve">Comparison with previous studies needs caution, because datasets, sampling, features, thresholds and protocols all differ. The study of Aljofey et al. is particularly relevant, since it also combines URL and HTML evidence, but it uses the full D1 source dataset and an XGBoost classifier [Aljofey et al. 2022]. Its 96.76% accuracy is a published benchmark, not a score directly comparable with our 88.30% on a balanced subset.</w:t>
      </w:r>
    </w:p>
    <w:p>
      <w:pPr>
        <w:pStyle w:val="2"/>
        <w:ind w:firstLine="0"/>
        <w:jc w:val="left"/>
      </w:pPr>
      <w:r>
        <w:rPr>
          <w:rFonts w:ascii="Times New Roman" w:hAnsi="Times New Roman"/>
          <w:b/>
          <w:sz w:val="24"/>
        </w:rPr>
        <w:t xml:space="preserve">8  Limitations</w:t>
      </w:r>
    </w:p>
    <w:p>
      <w:pPr>
        <w:ind w:firstLine="0"/>
      </w:pPr>
      <w:r>
        <w:rPr>
          <w:rFonts w:ascii="Times New Roman" w:hAnsi="Times New Roman"/>
          <w:sz w:val="20"/>
        </w:rPr>
        <w:t xml:space="preserve">Several limitations should be kept in mind. First, the headline D1 results come from a single stratified train/test split. Bootstrap intervals quantify uncertainty, but paired significance tests and k-fold validation were not run. Second, DistilBERT is used as a frozen feature extractor, and the implementation passes only the first 512 characters of the visible text to the tokenizer.</w:t>
      </w:r>
    </w:p>
    <w:p>
      <w:pPr>
        <w:ind w:firstLine="340"/>
      </w:pPr>
      <w:r>
        <w:rPr>
          <w:rFonts w:ascii="Times New Roman" w:hAnsi="Times New Roman"/>
          <w:sz w:val="20"/>
        </w:rPr>
        <w:t xml:space="preserve">Third, the D1-trained hybrid was evaluated on CompPhish without retraining and showed a large drop in specificity, indicating distribution shift; a domain-unseen hybrid evaluation was not performed. Fourth, domain verification is a controlled trusted-domain mechanism rather than a comprehensive reputation or threat-intelligence service. Finally, explanation quality, adversarial robustness, inference latency and user-facing usability have not been measured formally.</w:t>
      </w:r>
    </w:p>
    <w:p>
      <w:pPr>
        <w:pStyle w:val="3"/>
        <w:ind w:firstLine="0"/>
        <w:jc w:val="left"/>
      </w:pPr>
      <w:r>
        <w:rPr>
          <w:rFonts w:ascii="Times New Roman" w:hAnsi="Times New Roman"/>
          <w:b/>
          <w:sz w:val="20"/>
        </w:rPr>
        <w:t xml:space="preserve">8.1  Validity and Reproducibility Considerations</w:t>
      </w:r>
    </w:p>
    <w:p>
      <w:pPr>
        <w:ind w:firstLine="0"/>
      </w:pPr>
      <w:r>
        <w:rPr>
          <w:rFonts w:ascii="Times New Roman" w:hAnsi="Times New Roman"/>
          <w:sz w:val="20"/>
        </w:rPr>
        <w:t xml:space="preserve">To support replication: the subset was sampled from D1 with seed 42; the stratified split used test_size = 0.20 and random_state = 42; DistilBERT (distilbert-base-uncased) was frozen with the first 512 characters and first-token pooling; and LightGBM used 300 estimators, learning rate 0.05 and 31 leaves. The test confusion matrix was TN = 432, FP = 68, FN = 49 and TP = 451.</w:t>
      </w:r>
    </w:p>
    <w:p>
      <w:pPr>
        <w:pStyle w:val="2"/>
        <w:ind w:firstLine="0"/>
        <w:jc w:val="left"/>
      </w:pPr>
      <w:r>
        <w:rPr>
          <w:rFonts w:ascii="Times New Roman" w:hAnsi="Times New Roman"/>
          <w:b/>
          <w:sz w:val="24"/>
        </w:rPr>
        <w:t xml:space="preserve">9  Conclusions</w:t>
      </w:r>
    </w:p>
    <w:p>
      <w:pPr>
        <w:ind w:firstLine="0"/>
      </w:pPr>
      <w:r>
        <w:rPr>
          <w:rFonts w:ascii="Times New Roman" w:hAnsi="Times New Roman"/>
          <w:sz w:val="20"/>
        </w:rPr>
        <w:t xml:space="preserve">This paper presented PhishXpert Hybrid, an explainable phishing-detection framework that combines 23 engineered URL/HTML security features with a 768-dimensional DistilBERT representation of the webpage text and classifies the fused 791-dimensional vector with LightGBM. On a controlled 5,000-page D1 experiment, the model achieved 88.30% accuracy, an F1-score of 88.52% and 95.54% ROC-AUC, outperforming the controlled Random Forest, XGBoost, CatBoost and LightGBM baselines on the same test set.</w:t>
      </w:r>
    </w:p>
    <w:p>
      <w:pPr>
        <w:ind w:firstLine="340"/>
      </w:pPr>
      <w:r>
        <w:rPr>
          <w:rFonts w:ascii="Times New Roman" w:hAnsi="Times New Roman"/>
          <w:sz w:val="20"/>
        </w:rPr>
        <w:t xml:space="preserve">TreeSHAP, domain verification, webpage evidence and retrieval-augmented security knowledge turn the classifier into an explainable application rather than a score-only model. The external CompPhish evaluation also provides an important negative finding: recall remained high, but specificity dropped substantially under distribution shift. Broader datasets and stronger cross-domain evaluation are needed, rather than a single in-domain accuracy value.</w:t>
      </w:r>
    </w:p>
    <w:p>
      <w:pPr>
        <w:pStyle w:val="2"/>
        <w:ind w:firstLine="0"/>
        <w:jc w:val="left"/>
      </w:pPr>
      <w:r>
        <w:rPr>
          <w:rFonts w:ascii="Times New Roman" w:hAnsi="Times New Roman"/>
          <w:b/>
          <w:sz w:val="24"/>
        </w:rPr>
        <w:t xml:space="preserve">10  Future Work</w:t>
      </w:r>
    </w:p>
    <w:p>
      <w:pPr>
        <w:ind w:firstLine="0"/>
      </w:pPr>
      <w:r>
        <w:rPr>
          <w:rFonts w:ascii="Times New Roman" w:hAnsi="Times New Roman"/>
          <w:sz w:val="20"/>
        </w:rPr>
        <w:t xml:space="preserve">The first priority is a stronger evaluation: k-fold cross-validation with multiple seeds, and temporal and domain-separated test sets so that the model meets pages and domains it has never seen. Saving per-sample predictions for every model would also make paired significance tests such as McNemar’s test possible [McNemar 1947, Dietterich 1998].</w:t>
      </w:r>
    </w:p>
    <w:p>
      <w:pPr>
        <w:ind w:firstLine="340"/>
      </w:pPr>
      <w:r>
        <w:rPr>
          <w:rFonts w:ascii="Times New Roman" w:hAnsi="Times New Roman"/>
          <w:sz w:val="20"/>
        </w:rPr>
        <w:t xml:space="preserve">The CompPhish result also calls for stronger probability calibration, threshold tuning, training on larger multi-source datasets and adversarial evaluation. Finally, the explanation layer should be evaluated with users, and end-to-end inference latency for live URLs should be measured.</w:t>
      </w:r>
    </w:p>
    <w:p>
      <w:pPr>
        <w:pStyle w:val="2"/>
      </w:pPr>
      <w:r>
        <w:rPr>
          <w:rFonts w:ascii="Times New Roman" w:hAnsi="Times New Roman"/>
          <w:b/>
          <w:sz w:val="24"/>
        </w:rPr>
        <w:t xml:space="preserve">Declarations</w:t>
      </w:r>
    </w:p>
    <w:p>
      <w:pPr>
        <w:ind w:firstLine="0"/>
      </w:pPr>
      <w:r>
        <w:rPr>
          <w:rFonts w:ascii="Times New Roman" w:hAnsi="Times New Roman"/>
          <w:b/>
          <w:sz w:val="20"/>
        </w:rPr>
        <w:t xml:space="preserve">Funding.</w:t>
      </w:r>
      <w:r>
        <w:rPr>
          <w:rFonts w:ascii="Times New Roman" w:hAnsi="Times New Roman"/>
          <w:sz w:val="20"/>
        </w:rPr>
        <w:t xml:space="preserve"> This research received no external funding. </w:t>
      </w:r>
      <w:r>
        <w:rPr>
          <w:rFonts w:ascii="Times New Roman" w:hAnsi="Times New Roman"/>
          <w:b/>
          <w:sz w:val="20"/>
        </w:rPr>
        <w:t xml:space="preserve">Conflict of interest.</w:t>
      </w:r>
      <w:r>
        <w:rPr>
          <w:rFonts w:ascii="Times New Roman" w:hAnsi="Times New Roman"/>
          <w:sz w:val="20"/>
        </w:rPr>
        <w:t xml:space="preserve"> The authors declare no conflict of interest. </w:t>
      </w:r>
      <w:r>
        <w:rPr>
          <w:rFonts w:ascii="Times New Roman" w:hAnsi="Times New Roman"/>
          <w:b/>
          <w:sz w:val="20"/>
        </w:rPr>
        <w:t xml:space="preserve">Ethics statement.</w:t>
      </w:r>
      <w:r>
        <w:rPr>
          <w:rFonts w:ascii="Times New Roman" w:hAnsi="Times New Roman"/>
          <w:sz w:val="20"/>
        </w:rPr>
        <w:t xml:space="preserve"> This study used publicly available webpage source code and URLs and involved no human participants or personal data.</w:t>
      </w:r>
    </w:p>
    <w:p>
      <w:pPr>
        <w:ind w:firstLine="0"/>
      </w:pPr>
      <w:r>
        <w:rPr>
          <w:rFonts w:ascii="Times New Roman" w:hAnsi="Times New Roman"/>
          <w:b/>
          <w:sz w:val="20"/>
        </w:rPr>
        <w:t xml:space="preserve">Data availability.</w:t>
      </w:r>
      <w:r>
        <w:rPr>
          <w:rFonts w:ascii="Times New Roman" w:hAnsi="Times New Roman"/>
          <w:sz w:val="20"/>
        </w:rPr>
        <w:t xml:space="preserve"> The D1 [Aljofey et al. 2022] and CompPhish [Goenka 2026] datasets are publicly available from their original sources. No public source-code repository is reported in this manuscript.</w:t>
      </w:r>
    </w:p>
    <w:p>
      <w:pPr>
        <w:ind w:firstLine="0"/>
      </w:pPr>
      <w:r>
        <w:rPr>
          <w:rFonts w:ascii="Times New Roman" w:hAnsi="Times New Roman"/>
          <w:b/>
          <w:sz w:val="20"/>
        </w:rPr>
        <w:t xml:space="preserve">Author contributions.</w:t>
      </w:r>
      <w:r>
        <w:rPr>
          <w:rFonts w:ascii="Times New Roman" w:hAnsi="Times New Roman"/>
          <w:sz w:val="20"/>
        </w:rPr>
        <w:t xml:space="preserve"> Maddula Aruna Grace: conceptualisation, methodology, system design, implementation, experimentation and manuscript preparation. Ganji Naga Manaswi: methodology, implementation, experimentation, analysis and manuscript review. Both authors contributed to the development, evaluation and refinement of the proposed PhishXpert framework.</w:t>
      </w:r>
    </w:p>
    <w:p>
      <w:pPr>
        <w:ind w:firstLine="0"/>
      </w:pPr>
      <w:r>
        <w:rPr>
          <w:rFonts w:ascii="Times New Roman" w:hAnsi="Times New Roman"/>
          <w:b/>
          <w:sz w:val="20"/>
        </w:rPr>
        <w:t xml:space="preserve">Acknowledgements.</w:t>
      </w:r>
      <w:r>
        <w:rPr>
          <w:rFonts w:ascii="Times New Roman" w:hAnsi="Times New Roman"/>
          <w:sz w:val="20"/>
        </w:rPr>
        <w:t xml:space="preserve"> The authors sincerely thank Dr. K. Swanthana for her guidance and supervision, and the Department of Computer Science and Engineering, KL University, for its academic support.</w:t>
      </w:r>
    </w:p>
    <w:p>
      <w:pPr>
        <w:pStyle w:val="2"/>
      </w:pPr>
      <w:r>
        <w:rPr>
          <w:rFonts w:ascii="Times New Roman" w:hAnsi="Times New Roman"/>
          <w:b/>
          <w:sz w:val="24"/>
        </w:rPr>
        <w:t xml:space="preserve">References</w:t>
      </w:r>
    </w:p>
    <w:p>
      <w:pPr>
        <w:pStyle w:val="63"/>
        <w:spacing w:before="100" w:after="60" w:line="240" w:lineRule="auto"/>
      </w:pPr>
      <w:r>
        <w:rPr>
          <w:rFonts w:ascii="Times New Roman" w:hAnsi="Times New Roman"/>
          <w:sz w:val="20"/>
        </w:rPr>
        <w:t xml:space="preserve">[Abdelnabi et al. 2020]</w:t>
      </w:r>
      <w:r>
        <w:rPr>
          <w:rFonts w:ascii="Times New Roman" w:hAnsi="Times New Roman"/>
          <w:sz w:val="20"/>
        </w:rPr>
        <w:t xml:space="preserve"> Abdelnabi, S., Krombholz, K., and Fritz, M. (2020). VisualPhishNet: Zero-day phishing website detection by visual similarity. In Proceedings of the ACM SIGSAC Conference on Computer and Communications Security (CCS), pages 1681–1698.</w:t>
      </w:r>
    </w:p>
    <w:p>
      <w:pPr>
        <w:pStyle w:val="63"/>
        <w:spacing w:before="100" w:after="60" w:line="240" w:lineRule="auto"/>
      </w:pPr>
      <w:r>
        <w:rPr>
          <w:rFonts w:ascii="Times New Roman" w:hAnsi="Times New Roman"/>
          <w:sz w:val="20"/>
        </w:rPr>
        <w:t xml:space="preserve">[Abu-Nimeh et al. 2007]</w:t>
      </w:r>
      <w:r>
        <w:rPr>
          <w:rFonts w:ascii="Times New Roman" w:hAnsi="Times New Roman"/>
          <w:sz w:val="20"/>
        </w:rPr>
        <w:t xml:space="preserve"> Abu-Nimeh, S., Nappa, D., Wang, X., and Nair, S. (2007). A comparison of machine learning techniques for phishing detection. In Proceedings of the APWG eCrime Researchers Summit, pages 60–69.</w:t>
      </w:r>
    </w:p>
    <w:p>
      <w:pPr>
        <w:pStyle w:val="63"/>
        <w:spacing w:before="100" w:after="60" w:line="240" w:lineRule="auto"/>
      </w:pPr>
      <w:r>
        <w:rPr>
          <w:rFonts w:ascii="Times New Roman" w:hAnsi="Times New Roman"/>
          <w:sz w:val="20"/>
        </w:rPr>
        <w:t xml:space="preserve">[Aljofey et al. 2020]</w:t>
      </w:r>
      <w:r>
        <w:rPr>
          <w:rFonts w:ascii="Times New Roman" w:hAnsi="Times New Roman"/>
          <w:sz w:val="20"/>
        </w:rPr>
        <w:t xml:space="preserve"> Aljofey, A., Jiang, Q., Qu, Q., Huang, M., and Niyigena, J.-P. (2020). An effective phishing detection model based on character level convolutional neural network from URL. Electronics, 9(9):1514.</w:t>
      </w:r>
    </w:p>
    <w:p>
      <w:pPr>
        <w:pStyle w:val="63"/>
        <w:spacing w:before="100" w:after="60" w:line="240" w:lineRule="auto"/>
      </w:pPr>
      <w:r>
        <w:rPr>
          <w:rFonts w:ascii="Times New Roman" w:hAnsi="Times New Roman"/>
          <w:sz w:val="20"/>
        </w:rPr>
        <w:t xml:space="preserve">[Aljofey et al. 2022]</w:t>
      </w:r>
      <w:r>
        <w:rPr>
          <w:rFonts w:ascii="Times New Roman" w:hAnsi="Times New Roman"/>
          <w:sz w:val="20"/>
        </w:rPr>
        <w:t xml:space="preserve"> Aljofey, A., Jiang, Q., Rasool, A., Chen, H., Liu, W., Qu, Q., and Wang, Y. (2022). An effective detection approach for phishing websites using URL and HTML features. Scientific Reports, 12:8842. https://doi.org/10.1038/s41598-022-10841-5.</w:t>
      </w:r>
    </w:p>
    <w:p>
      <w:pPr>
        <w:pStyle w:val="63"/>
        <w:spacing w:before="100" w:after="60" w:line="240" w:lineRule="auto"/>
      </w:pPr>
      <w:r>
        <w:rPr>
          <w:rFonts w:ascii="Times New Roman" w:hAnsi="Times New Roman"/>
          <w:sz w:val="20"/>
        </w:rPr>
        <w:t xml:space="preserve">[APWG]</w:t>
      </w:r>
      <w:r>
        <w:rPr>
          <w:rFonts w:ascii="Times New Roman" w:hAnsi="Times New Roman"/>
          <w:sz w:val="20"/>
        </w:rPr>
        <w:t xml:space="preserve"> Anti-Phishing Working Group (APWG). Phishing Activity Trends Reports. https://apwg.org/trendsreports/.</w:t>
      </w:r>
    </w:p>
    <w:p>
      <w:pPr>
        <w:pStyle w:val="63"/>
        <w:spacing w:before="100" w:after="60" w:line="240" w:lineRule="auto"/>
      </w:pPr>
      <w:r>
        <w:rPr>
          <w:rFonts w:ascii="Times New Roman" w:hAnsi="Times New Roman"/>
          <w:sz w:val="20"/>
        </w:rPr>
        <w:t xml:space="preserve">[Breiman 2001]</w:t>
      </w:r>
      <w:r>
        <w:rPr>
          <w:rFonts w:ascii="Times New Roman" w:hAnsi="Times New Roman"/>
          <w:sz w:val="20"/>
        </w:rPr>
        <w:t xml:space="preserve"> Breiman, L. (2001). Random forests. Machine Learning, 45(1):5–32.</w:t>
      </w:r>
    </w:p>
    <w:p>
      <w:pPr>
        <w:pStyle w:val="63"/>
        <w:spacing w:before="100" w:after="60" w:line="240" w:lineRule="auto"/>
      </w:pPr>
      <w:r>
        <w:rPr>
          <w:rFonts w:ascii="Times New Roman" w:hAnsi="Times New Roman"/>
          <w:sz w:val="20"/>
        </w:rPr>
        <w:t xml:space="preserve">[Chen and Guestrin 2016]</w:t>
      </w:r>
      <w:r>
        <w:rPr>
          <w:rFonts w:ascii="Times New Roman" w:hAnsi="Times New Roman"/>
          <w:sz w:val="20"/>
        </w:rPr>
        <w:t xml:space="preserve"> Chen, T. and Guestrin, C. (2016). XGBoost: A scalable tree boosting system. In Proceedings of the 22nd ACM SIGKDD International Conference on Knowledge Discovery and Data Mining, pages 785–794.</w:t>
      </w:r>
    </w:p>
    <w:p>
      <w:pPr>
        <w:pStyle w:val="63"/>
        <w:spacing w:before="100" w:after="60" w:line="240" w:lineRule="auto"/>
      </w:pPr>
      <w:r>
        <w:rPr>
          <w:rFonts w:ascii="Times New Roman" w:hAnsi="Times New Roman"/>
          <w:sz w:val="20"/>
        </w:rPr>
        <w:t xml:space="preserve">[Chicco and Jurman 2020]</w:t>
      </w:r>
      <w:r>
        <w:rPr>
          <w:rFonts w:ascii="Times New Roman" w:hAnsi="Times New Roman"/>
          <w:sz w:val="20"/>
        </w:rPr>
        <w:t xml:space="preserve"> Chicco, D. and Jurman, G. (2020). The advantages of the Matthews correlation coefficient (MCC) over F1 score and accuracy in binary classification evaluation. BMC Genomics, 21:6.</w:t>
      </w:r>
    </w:p>
    <w:p>
      <w:pPr>
        <w:pStyle w:val="63"/>
        <w:spacing w:before="100" w:after="60" w:line="240" w:lineRule="auto"/>
      </w:pPr>
      <w:r>
        <w:rPr>
          <w:rFonts w:ascii="Times New Roman" w:hAnsi="Times New Roman"/>
          <w:sz w:val="20"/>
        </w:rPr>
        <w:t xml:space="preserve">[Cohen 1960]</w:t>
      </w:r>
      <w:r>
        <w:rPr>
          <w:rFonts w:ascii="Times New Roman" w:hAnsi="Times New Roman"/>
          <w:sz w:val="20"/>
        </w:rPr>
        <w:t xml:space="preserve"> Cohen, J. (1960). A coefficient of agreement for nominal scales. Educational and Psychological Measurement, 20(1):37–46.</w:t>
      </w:r>
    </w:p>
    <w:p>
      <w:pPr>
        <w:pStyle w:val="63"/>
        <w:spacing w:before="100" w:after="60" w:line="240" w:lineRule="auto"/>
      </w:pPr>
      <w:r>
        <w:rPr>
          <w:rFonts w:ascii="Times New Roman" w:hAnsi="Times New Roman"/>
          <w:sz w:val="20"/>
        </w:rPr>
        <w:t xml:space="preserve">[Devlin et al. 2019]</w:t>
      </w:r>
      <w:r>
        <w:rPr>
          <w:rFonts w:ascii="Times New Roman" w:hAnsi="Times New Roman"/>
          <w:sz w:val="20"/>
        </w:rPr>
        <w:t xml:space="preserve"> Devlin, J., Chang, M.-W., Lee, K., and Toutanova, K. (2019). BERT: Pre-training of deep bidirectional transformers for language understanding. In Proceedings of the 2019 Conference of the North American Chapter of the Association for Computational Linguistics: Human Language Technologies, pages 4171–4186.</w:t>
      </w:r>
    </w:p>
    <w:p>
      <w:pPr>
        <w:pStyle w:val="63"/>
        <w:spacing w:before="100" w:after="60" w:line="240" w:lineRule="auto"/>
      </w:pPr>
      <w:r>
        <w:rPr>
          <w:rFonts w:ascii="Times New Roman" w:hAnsi="Times New Roman"/>
          <w:sz w:val="20"/>
        </w:rPr>
        <w:t xml:space="preserve">[Dietterich 1998]</w:t>
      </w:r>
      <w:r>
        <w:rPr>
          <w:rFonts w:ascii="Times New Roman" w:hAnsi="Times New Roman"/>
          <w:sz w:val="20"/>
        </w:rPr>
        <w:t xml:space="preserve"> Dietterich, T. G. (1998). Approximate statistical tests for comparing supervised classification learning algorithms. Neural Computation, 10(7):1895–1923.</w:t>
      </w:r>
    </w:p>
    <w:p>
      <w:pPr>
        <w:pStyle w:val="63"/>
        <w:spacing w:before="100" w:after="60" w:line="240" w:lineRule="auto"/>
      </w:pPr>
      <w:r>
        <w:rPr>
          <w:rFonts w:ascii="Times New Roman" w:hAnsi="Times New Roman"/>
          <w:sz w:val="20"/>
        </w:rPr>
        <w:t xml:space="preserve">[Fawcett 2006]</w:t>
      </w:r>
      <w:r>
        <w:rPr>
          <w:rFonts w:ascii="Times New Roman" w:hAnsi="Times New Roman"/>
          <w:sz w:val="20"/>
        </w:rPr>
        <w:t xml:space="preserve"> Fawcett, T. (2006). An introduction to ROC analysis. Pattern Recognition Letters, 27(8):861–874.</w:t>
      </w:r>
    </w:p>
    <w:p>
      <w:pPr>
        <w:pStyle w:val="63"/>
        <w:spacing w:before="100" w:after="60" w:line="240" w:lineRule="auto"/>
      </w:pPr>
      <w:r>
        <w:rPr>
          <w:rFonts w:ascii="Times New Roman" w:hAnsi="Times New Roman"/>
          <w:sz w:val="20"/>
        </w:rPr>
        <w:t xml:space="preserve">[Goenka 2026]</w:t>
      </w:r>
      <w:r>
        <w:rPr>
          <w:rFonts w:ascii="Times New Roman" w:hAnsi="Times New Roman"/>
          <w:sz w:val="20"/>
        </w:rPr>
        <w:t xml:space="preserve"> Goenka, R. (2026). CompPhish. Mendeley Data, V3. https://doi.org/10.17632/fmbs4kp9wz.3.</w:t>
      </w:r>
    </w:p>
    <w:p>
      <w:pPr>
        <w:pStyle w:val="63"/>
        <w:spacing w:before="100" w:after="60" w:line="240" w:lineRule="auto"/>
      </w:pPr>
      <w:r>
        <w:rPr>
          <w:rFonts w:ascii="Times New Roman" w:hAnsi="Times New Roman"/>
          <w:sz w:val="20"/>
        </w:rPr>
        <w:t xml:space="preserve">[Grinsztajn et al. 2022]</w:t>
      </w:r>
      <w:r>
        <w:rPr>
          <w:rFonts w:ascii="Times New Roman" w:hAnsi="Times New Roman"/>
          <w:sz w:val="20"/>
        </w:rPr>
        <w:t xml:space="preserve"> Grinsztajn, L., Oyallon, E., and Varoquaux, G. (2022). Why do tree-based models still outperform deep learning on typical tabular data? Advances in Neural Information Processing Systems, 35 (Datasets and Benchmarks Track).</w:t>
      </w:r>
    </w:p>
    <w:p>
      <w:pPr>
        <w:pStyle w:val="63"/>
        <w:spacing w:before="100" w:after="60" w:line="240" w:lineRule="auto"/>
      </w:pPr>
      <w:r>
        <w:rPr>
          <w:rFonts w:ascii="Times New Roman" w:hAnsi="Times New Roman"/>
          <w:sz w:val="20"/>
        </w:rPr>
        <w:t xml:space="preserve">[Hannousse and Yahiouche 2021]</w:t>
      </w:r>
      <w:r>
        <w:rPr>
          <w:rFonts w:ascii="Times New Roman" w:hAnsi="Times New Roman"/>
          <w:sz w:val="20"/>
        </w:rPr>
        <w:t xml:space="preserve"> Hannousse, A. and Yahiouche, S. (2021). Towards benchmark datasets for machine learning based website phishing detection: An experimental study. Engineering Applications of Artificial Intelligence, 104:104347.</w:t>
      </w:r>
    </w:p>
    <w:p>
      <w:pPr>
        <w:pStyle w:val="63"/>
        <w:spacing w:before="100" w:after="60" w:line="240" w:lineRule="auto"/>
      </w:pPr>
      <w:r>
        <w:rPr>
          <w:rFonts w:ascii="Times New Roman" w:hAnsi="Times New Roman"/>
          <w:sz w:val="20"/>
        </w:rPr>
        <w:t xml:space="preserve">[Ke et al. 2017]</w:t>
      </w:r>
      <w:r>
        <w:rPr>
          <w:rFonts w:ascii="Times New Roman" w:hAnsi="Times New Roman"/>
          <w:sz w:val="20"/>
        </w:rPr>
        <w:t xml:space="preserve"> Ke, G., Meng, Q., Finley, T., Wang, T., Chen, W., Ma, W., Ye, Q., and Liu, T.-Y. (2017). LightGBM: A highly efficient gradient boosting decision tree. Advances in Neural Information Processing Systems, 30, pages 3146–3154.</w:t>
      </w:r>
    </w:p>
    <w:p>
      <w:pPr>
        <w:pStyle w:val="63"/>
        <w:spacing w:before="100" w:after="60" w:line="240" w:lineRule="auto"/>
      </w:pPr>
      <w:r>
        <w:rPr>
          <w:rFonts w:ascii="Times New Roman" w:hAnsi="Times New Roman"/>
          <w:sz w:val="20"/>
        </w:rPr>
        <w:t xml:space="preserve">[Le et al. 2018]</w:t>
      </w:r>
      <w:r>
        <w:rPr>
          <w:rFonts w:ascii="Times New Roman" w:hAnsi="Times New Roman"/>
          <w:sz w:val="20"/>
        </w:rPr>
        <w:t xml:space="preserve"> Le, H., Pham, Q., Sahoo, D., and Hoi, S. C. H. (2018). URLNet: Learning a URL representation with deep learning for malicious URL detection. arXiv preprint arXiv:1802.03162.</w:t>
      </w:r>
    </w:p>
    <w:p>
      <w:pPr>
        <w:pStyle w:val="63"/>
        <w:spacing w:before="100" w:after="60" w:line="240" w:lineRule="auto"/>
      </w:pPr>
      <w:r>
        <w:rPr>
          <w:rFonts w:ascii="Times New Roman" w:hAnsi="Times New Roman"/>
          <w:sz w:val="20"/>
        </w:rPr>
        <w:t xml:space="preserve">[Lewis et al. 2020]</w:t>
      </w:r>
      <w:r>
        <w:rPr>
          <w:rFonts w:ascii="Times New Roman" w:hAnsi="Times New Roman"/>
          <w:sz w:val="20"/>
        </w:rPr>
        <w:t xml:space="preserve"> Lewis, P., Perez, E., Piktus, A., Petroni, F., Karpukhin, V., Goyal, N., et al. (2020). Retrieval-augmented generation for knowledge-intensive NLP tasks. Advances in Neural Information Processing Systems, 33, pages 9459–9474.</w:t>
      </w:r>
    </w:p>
    <w:p>
      <w:pPr>
        <w:pStyle w:val="63"/>
        <w:spacing w:before="100" w:after="60" w:line="240" w:lineRule="auto"/>
      </w:pPr>
      <w:r>
        <w:rPr>
          <w:rFonts w:ascii="Times New Roman" w:hAnsi="Times New Roman"/>
          <w:sz w:val="20"/>
        </w:rPr>
        <w:t xml:space="preserve">[Lin et al. 2021]</w:t>
      </w:r>
      <w:r>
        <w:rPr>
          <w:rFonts w:ascii="Times New Roman" w:hAnsi="Times New Roman"/>
          <w:sz w:val="20"/>
        </w:rPr>
        <w:t xml:space="preserve"> Lin, Y., Liu, R., Divakaran, D. M., Ng, J. Y., Chan, Q. Z., Lu, Y., Si, Y., Zhang, F., and Dong, J. S. (2021). Phishpedia: A hybrid deep learning based approach to visually identify phishing webpages. In Proceedings of the 30th USENIX Security Symposium, pages 3793–3810.</w:t>
      </w:r>
    </w:p>
    <w:p>
      <w:pPr>
        <w:pStyle w:val="63"/>
        <w:spacing w:before="100" w:after="60" w:line="240" w:lineRule="auto"/>
      </w:pPr>
      <w:r>
        <w:rPr>
          <w:rFonts w:ascii="Times New Roman" w:hAnsi="Times New Roman"/>
          <w:sz w:val="20"/>
        </w:rPr>
        <w:t xml:space="preserve">[Loshchilov and Hutter 2019]</w:t>
      </w:r>
      <w:r>
        <w:rPr>
          <w:rFonts w:ascii="Times New Roman" w:hAnsi="Times New Roman"/>
          <w:sz w:val="20"/>
        </w:rPr>
        <w:t xml:space="preserve"> Loshchilov, I. and Hutter, F. (2019). Decoupled weight decay regularization. In International Conference on Learning Representations.</w:t>
      </w:r>
    </w:p>
    <w:p>
      <w:pPr>
        <w:pStyle w:val="63"/>
        <w:spacing w:before="100" w:after="60" w:line="240" w:lineRule="auto"/>
      </w:pPr>
      <w:r>
        <w:rPr>
          <w:rFonts w:ascii="Times New Roman" w:hAnsi="Times New Roman"/>
          <w:sz w:val="20"/>
        </w:rPr>
        <w:t xml:space="preserve">[Lundberg and Lee 2017]</w:t>
      </w:r>
      <w:r>
        <w:rPr>
          <w:rFonts w:ascii="Times New Roman" w:hAnsi="Times New Roman"/>
          <w:sz w:val="20"/>
        </w:rPr>
        <w:t xml:space="preserve"> Lundberg, S. M. and Lee, S.-I. (2017). A unified approach to interpreting model predictions. Advances in Neural Information Processing Systems, 30, pages 4765–4774.</w:t>
      </w:r>
    </w:p>
    <w:p>
      <w:pPr>
        <w:pStyle w:val="63"/>
        <w:spacing w:before="100" w:after="60" w:line="240" w:lineRule="auto"/>
      </w:pPr>
      <w:r>
        <w:rPr>
          <w:rFonts w:ascii="Times New Roman" w:hAnsi="Times New Roman"/>
          <w:sz w:val="20"/>
        </w:rPr>
        <w:t xml:space="preserve">[Lundberg et al. 2020]</w:t>
      </w:r>
      <w:r>
        <w:rPr>
          <w:rFonts w:ascii="Times New Roman" w:hAnsi="Times New Roman"/>
          <w:sz w:val="20"/>
        </w:rPr>
        <w:t xml:space="preserve"> Lundberg, S. M., Erion, G., Chen, H., DeGrave, A., Prutkin, J. M., Nair, B., et al. (2020). From local explanations to global understanding with explainable AI for trees. Nature Machine Intelligence, 2(1):56–67.</w:t>
      </w:r>
    </w:p>
    <w:p>
      <w:pPr>
        <w:pStyle w:val="63"/>
        <w:spacing w:before="100" w:after="60" w:line="240" w:lineRule="auto"/>
      </w:pPr>
      <w:r>
        <w:rPr>
          <w:rFonts w:ascii="Times New Roman" w:hAnsi="Times New Roman"/>
          <w:sz w:val="20"/>
        </w:rPr>
        <w:t xml:space="preserve">[Maneriker et al. 2021]</w:t>
      </w:r>
      <w:r>
        <w:rPr>
          <w:rFonts w:ascii="Times New Roman" w:hAnsi="Times New Roman"/>
          <w:sz w:val="20"/>
        </w:rPr>
        <w:t xml:space="preserve"> Maneriker, P., Stokes, J. W., Lazo, E. G., Carutasu, D., Tajaddodianfar, F., and Gururajan, A. (2021). URLTran: Improving phishing URL detection using transformers. In Proceedings of the IEEE Military Communications Conference (MILCOM).</w:t>
      </w:r>
    </w:p>
    <w:p>
      <w:pPr>
        <w:pStyle w:val="63"/>
        <w:spacing w:before="100" w:after="60" w:line="240" w:lineRule="auto"/>
      </w:pPr>
      <w:r>
        <w:rPr>
          <w:rFonts w:ascii="Times New Roman" w:hAnsi="Times New Roman"/>
          <w:sz w:val="20"/>
        </w:rPr>
        <w:t xml:space="preserve">[Marchal et al. 2014]</w:t>
      </w:r>
      <w:r>
        <w:rPr>
          <w:rFonts w:ascii="Times New Roman" w:hAnsi="Times New Roman"/>
          <w:sz w:val="20"/>
        </w:rPr>
        <w:t xml:space="preserve"> Marchal, S., François, J., State, R., and Engel, T. (2014). PhishStorm: Detecting phishing with streaming analytics. IEEE Transactions on Network and Service Management, 11(4):458–471.</w:t>
      </w:r>
    </w:p>
    <w:p>
      <w:pPr>
        <w:pStyle w:val="63"/>
        <w:spacing w:before="100" w:after="60" w:line="240" w:lineRule="auto"/>
      </w:pPr>
      <w:r>
        <w:rPr>
          <w:rFonts w:ascii="Times New Roman" w:hAnsi="Times New Roman"/>
          <w:sz w:val="20"/>
        </w:rPr>
        <w:t xml:space="preserve">[McNemar 1947]</w:t>
      </w:r>
      <w:r>
        <w:rPr>
          <w:rFonts w:ascii="Times New Roman" w:hAnsi="Times New Roman"/>
          <w:sz w:val="20"/>
        </w:rPr>
        <w:t xml:space="preserve"> McNemar, Q. (1947). Note on the sampling error of the difference between correlated proportions or percentages. Psychometrika, 12(2):153–157.</w:t>
      </w:r>
    </w:p>
    <w:p>
      <w:pPr>
        <w:pStyle w:val="63"/>
        <w:spacing w:before="100" w:after="60" w:line="240" w:lineRule="auto"/>
      </w:pPr>
      <w:r>
        <w:rPr>
          <w:rFonts w:ascii="Times New Roman" w:hAnsi="Times New Roman"/>
          <w:sz w:val="20"/>
        </w:rPr>
        <w:t xml:space="preserve">[Mohammad et al. 2014]</w:t>
      </w:r>
      <w:r>
        <w:rPr>
          <w:rFonts w:ascii="Times New Roman" w:hAnsi="Times New Roman"/>
          <w:sz w:val="20"/>
        </w:rPr>
        <w:t xml:space="preserve"> Mohammad, R. M., Thabtah, F., and McCluskey, L. (2014). Intelligent rule-based phishing websites classification. IET Information Security, 8(3):153–160.</w:t>
      </w:r>
    </w:p>
    <w:p>
      <w:pPr>
        <w:pStyle w:val="63"/>
        <w:spacing w:before="100" w:after="60" w:line="240" w:lineRule="auto"/>
      </w:pPr>
      <w:r>
        <w:rPr>
          <w:rFonts w:ascii="Times New Roman" w:hAnsi="Times New Roman"/>
          <w:sz w:val="20"/>
        </w:rPr>
        <w:t xml:space="preserve">[Opara et al. 2020]</w:t>
      </w:r>
      <w:r>
        <w:rPr>
          <w:rFonts w:ascii="Times New Roman" w:hAnsi="Times New Roman"/>
          <w:sz w:val="20"/>
        </w:rPr>
        <w:t xml:space="preserve"> Opara, C., Wei, B., and Chen, Y. (2020). HTMLPhish: Enabling phishing web page detection by applying deep learning techniques on HTML analysis. In Proceedings of the International Joint Conference on Neural Networks (IJCNN), pages 1–8.</w:t>
      </w:r>
    </w:p>
    <w:p>
      <w:pPr>
        <w:pStyle w:val="63"/>
        <w:spacing w:before="100" w:after="60" w:line="240" w:lineRule="auto"/>
      </w:pPr>
      <w:r>
        <w:rPr>
          <w:rFonts w:ascii="Times New Roman" w:hAnsi="Times New Roman"/>
          <w:sz w:val="20"/>
        </w:rPr>
        <w:t xml:space="preserve">[OpenPhish]</w:t>
      </w:r>
      <w:r>
        <w:rPr>
          <w:rFonts w:ascii="Times New Roman" w:hAnsi="Times New Roman"/>
          <w:sz w:val="20"/>
        </w:rPr>
        <w:t xml:space="preserve"> OpenPhish. OpenPhish: Phishing intelligence. https://openphish.com.</w:t>
      </w:r>
    </w:p>
    <w:p>
      <w:pPr>
        <w:pStyle w:val="63"/>
        <w:spacing w:before="100" w:after="60" w:line="240" w:lineRule="auto"/>
      </w:pPr>
      <w:r>
        <w:rPr>
          <w:rFonts w:ascii="Times New Roman" w:hAnsi="Times New Roman"/>
          <w:sz w:val="20"/>
        </w:rPr>
        <w:t xml:space="preserve">[Paszke et al. 2019]</w:t>
      </w:r>
      <w:r>
        <w:rPr>
          <w:rFonts w:ascii="Times New Roman" w:hAnsi="Times New Roman"/>
          <w:sz w:val="20"/>
        </w:rPr>
        <w:t xml:space="preserve"> Paszke, A., Gross, S., Massa, F., Lerer, A., Bradbury, J., et al. (2019). PyTorch: An imperative style, high-performance deep learning library. Advances in Neural Information Processing Systems, 32, pages 8024–8035.</w:t>
      </w:r>
    </w:p>
    <w:p>
      <w:pPr>
        <w:pStyle w:val="63"/>
        <w:spacing w:before="100" w:after="60" w:line="240" w:lineRule="auto"/>
      </w:pPr>
      <w:r>
        <w:rPr>
          <w:rFonts w:ascii="Times New Roman" w:hAnsi="Times New Roman"/>
          <w:sz w:val="20"/>
        </w:rPr>
        <w:t xml:space="preserve">[Pedregosa et al. 2011]</w:t>
      </w:r>
      <w:r>
        <w:rPr>
          <w:rFonts w:ascii="Times New Roman" w:hAnsi="Times New Roman"/>
          <w:sz w:val="20"/>
        </w:rPr>
        <w:t xml:space="preserve"> Pedregosa, F., Varoquaux, G., Gramfort, A., Michel, V., Thirion, B., et al. (2011). Scikit-learn: Machine learning in Python. Journal of Machine Learning Research, 12:2825–2830.</w:t>
      </w:r>
    </w:p>
    <w:p>
      <w:pPr>
        <w:pStyle w:val="63"/>
        <w:spacing w:before="100" w:after="60" w:line="240" w:lineRule="auto"/>
      </w:pPr>
      <w:r>
        <w:rPr>
          <w:rFonts w:ascii="Times New Roman" w:hAnsi="Times New Roman"/>
          <w:sz w:val="20"/>
        </w:rPr>
        <w:t xml:space="preserve">[PhishTank]</w:t>
      </w:r>
      <w:r>
        <w:rPr>
          <w:rFonts w:ascii="Times New Roman" w:hAnsi="Times New Roman"/>
          <w:sz w:val="20"/>
        </w:rPr>
        <w:t xml:space="preserve"> PhishTank. PhishTank: Join the fight against phishing. https://www.phishtank.com.</w:t>
      </w:r>
    </w:p>
    <w:p>
      <w:pPr>
        <w:pStyle w:val="63"/>
        <w:spacing w:before="100" w:after="60" w:line="240" w:lineRule="auto"/>
      </w:pPr>
      <w:r>
        <w:rPr>
          <w:rFonts w:ascii="Times New Roman" w:hAnsi="Times New Roman"/>
          <w:sz w:val="20"/>
        </w:rPr>
        <w:t xml:space="preserve">[Prokhorenkova et al. 2018]</w:t>
      </w:r>
      <w:r>
        <w:rPr>
          <w:rFonts w:ascii="Times New Roman" w:hAnsi="Times New Roman"/>
          <w:sz w:val="20"/>
        </w:rPr>
        <w:t xml:space="preserve"> Prokhorenkova, L., Gusev, G., Vorobev, A., Dorogush, A. V., and Gulin, A. (2018). CatBoost: Unbiased boosting with categorical features. Advances in Neural Information Processing Systems, 31.</w:t>
      </w:r>
    </w:p>
    <w:p>
      <w:pPr>
        <w:pStyle w:val="63"/>
        <w:spacing w:before="100" w:after="60" w:line="240" w:lineRule="auto"/>
      </w:pPr>
      <w:r>
        <w:rPr>
          <w:rFonts w:ascii="Times New Roman" w:hAnsi="Times New Roman"/>
          <w:sz w:val="20"/>
        </w:rPr>
        <w:t xml:space="preserve">[Rao and Pais 2019]</w:t>
      </w:r>
      <w:r>
        <w:rPr>
          <w:rFonts w:ascii="Times New Roman" w:hAnsi="Times New Roman"/>
          <w:sz w:val="20"/>
        </w:rPr>
        <w:t xml:space="preserve"> Rao, R. S. and Pais, A. R. (2019). Detection of phishing websites using an efficient feature-based machine learning framework. Neural Computing and Applications, 31(8):3851–3873.</w:t>
      </w:r>
    </w:p>
    <w:p>
      <w:pPr>
        <w:pStyle w:val="63"/>
        <w:spacing w:before="100" w:after="60" w:line="240" w:lineRule="auto"/>
      </w:pPr>
      <w:r>
        <w:rPr>
          <w:rFonts w:ascii="Times New Roman" w:hAnsi="Times New Roman"/>
          <w:sz w:val="20"/>
        </w:rPr>
        <w:t xml:space="preserve">[Rekouche 2011]</w:t>
      </w:r>
      <w:r>
        <w:rPr>
          <w:rFonts w:ascii="Times New Roman" w:hAnsi="Times New Roman"/>
          <w:sz w:val="20"/>
        </w:rPr>
        <w:t xml:space="preserve"> Rekouche, K. (2011). Early phishing. arXiv preprint arXiv:1106.4692.</w:t>
      </w:r>
    </w:p>
    <w:p>
      <w:pPr>
        <w:pStyle w:val="63"/>
        <w:spacing w:before="100" w:after="60" w:line="240" w:lineRule="auto"/>
      </w:pPr>
      <w:r>
        <w:rPr>
          <w:rFonts w:ascii="Times New Roman" w:hAnsi="Times New Roman"/>
          <w:sz w:val="20"/>
        </w:rPr>
        <w:t xml:space="preserve">[Ribeiro et al. 2016]</w:t>
      </w:r>
      <w:r>
        <w:rPr>
          <w:rFonts w:ascii="Times New Roman" w:hAnsi="Times New Roman"/>
          <w:sz w:val="20"/>
        </w:rPr>
        <w:t xml:space="preserve"> Ribeiro, M. T., Singh, S., and Guestrin, C. (2016). “Why should I trust you?”: Explaining the predictions of any classifier. In Proceedings of the 22nd ACM SIGKDD International Conference on Knowledge Discovery and Data Mining, pages 1135–1144.</w:t>
      </w:r>
    </w:p>
    <w:p>
      <w:pPr>
        <w:pStyle w:val="63"/>
        <w:spacing w:before="100" w:after="60" w:line="240" w:lineRule="auto"/>
      </w:pPr>
      <w:r>
        <w:rPr>
          <w:rFonts w:ascii="Times New Roman" w:hAnsi="Times New Roman"/>
          <w:sz w:val="20"/>
        </w:rPr>
        <w:t xml:space="preserve">[Sahingoz et al. 2019]</w:t>
      </w:r>
      <w:r>
        <w:rPr>
          <w:rFonts w:ascii="Times New Roman" w:hAnsi="Times New Roman"/>
          <w:sz w:val="20"/>
        </w:rPr>
        <w:t xml:space="preserve"> Sahingoz, O. K., Buber, E., Demir, O., and Diri, B. (2019). Machine learning based phishing detection from URLs. Expert Systems with Applications, 117:345–357.</w:t>
      </w:r>
    </w:p>
    <w:p>
      <w:pPr>
        <w:pStyle w:val="63"/>
        <w:spacing w:before="100" w:after="60" w:line="240" w:lineRule="auto"/>
      </w:pPr>
      <w:r>
        <w:rPr>
          <w:rFonts w:ascii="Times New Roman" w:hAnsi="Times New Roman"/>
          <w:sz w:val="20"/>
        </w:rPr>
        <w:t xml:space="preserve">[Saito and Rehmsmeier 2015]</w:t>
      </w:r>
      <w:r>
        <w:rPr>
          <w:rFonts w:ascii="Times New Roman" w:hAnsi="Times New Roman"/>
          <w:sz w:val="20"/>
        </w:rPr>
        <w:t xml:space="preserve"> Saito, T. and Rehmsmeier, M. (2015). The precision-recall plot is more informative than the ROC plot when evaluating binary classifiers on imbalanced datasets. PLoS ONE, 10(3):e0118432.</w:t>
      </w:r>
    </w:p>
    <w:p>
      <w:pPr>
        <w:pStyle w:val="63"/>
        <w:spacing w:before="100" w:after="60" w:line="240" w:lineRule="auto"/>
      </w:pPr>
      <w:r>
        <w:rPr>
          <w:rFonts w:ascii="Times New Roman" w:hAnsi="Times New Roman"/>
          <w:sz w:val="20"/>
        </w:rPr>
        <w:t xml:space="preserve">[Sanh et al. 2019]</w:t>
      </w:r>
      <w:r>
        <w:rPr>
          <w:rFonts w:ascii="Times New Roman" w:hAnsi="Times New Roman"/>
          <w:sz w:val="20"/>
        </w:rPr>
        <w:t xml:space="preserve"> Sanh, V., Debut, L., Chaumond, J., and Wolf, T. (2019). DistilBERT, a distilled version of BERT: Smaller, faster, cheaper and lighter. arXiv preprint arXiv:1910.01108.</w:t>
      </w:r>
    </w:p>
    <w:p>
      <w:pPr>
        <w:pStyle w:val="63"/>
        <w:spacing w:before="100" w:after="60" w:line="240" w:lineRule="auto"/>
      </w:pPr>
      <w:r>
        <w:rPr>
          <w:rFonts w:ascii="Times New Roman" w:hAnsi="Times New Roman"/>
          <w:sz w:val="20"/>
        </w:rPr>
        <w:t xml:space="preserve">[Sheng et al. 2009]</w:t>
      </w:r>
      <w:r>
        <w:rPr>
          <w:rFonts w:ascii="Times New Roman" w:hAnsi="Times New Roman"/>
          <w:sz w:val="20"/>
        </w:rPr>
        <w:t xml:space="preserve"> Sheng, S., Wardman, B., Warner, G., Cranor, L. F., Hong, J., and Zhang, C. (2009). An empirical analysis of phishing blacklists. In Proceedings of the 6th Conference on Email and Anti-Spam (CEAS).</w:t>
      </w:r>
    </w:p>
    <w:p>
      <w:pPr>
        <w:pStyle w:val="63"/>
        <w:spacing w:before="100" w:after="60" w:line="240" w:lineRule="auto"/>
      </w:pPr>
      <w:r>
        <w:rPr>
          <w:rFonts w:ascii="Times New Roman" w:hAnsi="Times New Roman"/>
          <w:sz w:val="20"/>
        </w:rPr>
        <w:t xml:space="preserve">[Shwartz-Ziv and Armon 2022]</w:t>
      </w:r>
      <w:r>
        <w:rPr>
          <w:rFonts w:ascii="Times New Roman" w:hAnsi="Times New Roman"/>
          <w:sz w:val="20"/>
        </w:rPr>
        <w:t xml:space="preserve"> Shwartz-Ziv, R. and Armon, A. (2022). Tabular data: Deep learning is not all you need. Information Fusion, 81:84–90.</w:t>
      </w:r>
    </w:p>
    <w:p>
      <w:pPr>
        <w:pStyle w:val="63"/>
        <w:spacing w:before="100" w:after="60" w:line="240" w:lineRule="auto"/>
      </w:pPr>
      <w:r>
        <w:rPr>
          <w:rFonts w:ascii="Times New Roman" w:hAnsi="Times New Roman"/>
          <w:sz w:val="20"/>
        </w:rPr>
        <w:t xml:space="preserve">[Vaswani et al. 2017]</w:t>
      </w:r>
      <w:r>
        <w:rPr>
          <w:rFonts w:ascii="Times New Roman" w:hAnsi="Times New Roman"/>
          <w:sz w:val="20"/>
        </w:rPr>
        <w:t xml:space="preserve"> Vaswani, A., Shazeer, N., Parmar, N., Uszkoreit, J., Jones, L., Gomez, A. N., Kaiser, Ł., and Polosukhin, I. (2017). Attention is all you need. Advances in Neural Information Processing Systems, 30, pages 5998–6008.</w:t>
      </w:r>
    </w:p>
    <w:p>
      <w:pPr>
        <w:pStyle w:val="63"/>
        <w:spacing w:before="100" w:after="60" w:line="240" w:lineRule="auto"/>
      </w:pPr>
      <w:r>
        <w:rPr>
          <w:rFonts w:ascii="Times New Roman" w:hAnsi="Times New Roman"/>
          <w:sz w:val="20"/>
        </w:rPr>
        <w:t xml:space="preserve">[Whittaker et al. 2010]</w:t>
      </w:r>
      <w:r>
        <w:rPr>
          <w:rFonts w:ascii="Times New Roman" w:hAnsi="Times New Roman"/>
          <w:sz w:val="20"/>
        </w:rPr>
        <w:t xml:space="preserve"> Whittaker, C., Ryner, B., and Nazif, M. (2010). Large-scale automatic classification of phishing pages. In Proceedings of the Network and Distributed System Security Symposium (NDSS).</w:t>
      </w:r>
    </w:p>
    <w:p>
      <w:pPr>
        <w:pStyle w:val="63"/>
        <w:spacing w:before="100" w:after="60" w:line="240" w:lineRule="auto"/>
      </w:pPr>
      <w:r>
        <w:rPr>
          <w:rFonts w:ascii="Times New Roman" w:hAnsi="Times New Roman"/>
          <w:sz w:val="20"/>
        </w:rPr>
        <w:t xml:space="preserve">[Wolf et al. 2020]</w:t>
      </w:r>
      <w:r>
        <w:rPr>
          <w:rFonts w:ascii="Times New Roman" w:hAnsi="Times New Roman"/>
          <w:sz w:val="20"/>
        </w:rPr>
        <w:t xml:space="preserve"> Wolf, T., Debut, L., Sanh, V., Chaumond, J., Delangue, C., Moi, A., et al. (2020). Transformers: State-of-the-art natural language processing. In Proceedings of the 2020 Conference on Empirical Methods in Natural Language Processing: System Demonstrations, pages 38–45.</w:t>
      </w:r>
    </w:p>
    <w:p>
      <w:pPr>
        <w:pStyle w:val="63"/>
        <w:spacing w:before="100" w:after="60" w:line="240" w:lineRule="auto"/>
      </w:pPr>
      <w:r>
        <w:rPr>
          <w:rFonts w:ascii="Times New Roman" w:hAnsi="Times New Roman"/>
          <w:sz w:val="20"/>
        </w:rPr>
        <w:t xml:space="preserve">[Zhang et al. 2007]</w:t>
      </w:r>
      <w:r>
        <w:rPr>
          <w:rFonts w:ascii="Times New Roman" w:hAnsi="Times New Roman"/>
          <w:sz w:val="20"/>
        </w:rPr>
        <w:t xml:space="preserve"> Zhang, Y., Hong, J. I., and Cranor, L. F. (2007). CANTINA: A content-based approach to detecting phishing web sites. In Proceedings of the 16th International Conference on World Wide Web (WWW), pages 639–648.</w:t>
      </w:r>
    </w:p>
    <w:sectPr>
      <w:headerReference r:id="rId7" w:type="first"/>
      <w:headerReference r:id="rId5" w:type="default"/>
      <w:headerReference r:id="rId6" w:type="even"/>
      <w:pgSz w:w="11906" w:h="16838"/>
      <w:pgMar w:top="2098" w:right="2381" w:bottom="3742" w:left="2608" w:header="850" w:footer="850" w:gutter="0"/>
      <w:pgNumType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 w:name="Times">
    <w:altName w:val="Sylfaen"/>
    <w:panose1 w:val="00000500000000020000"/>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9BBE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8F396"/>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5A80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BA3389"/>
    <w:multiLevelType w:val="multilevel"/>
    <w:tmpl w:val="0ABA3389"/>
    <w:lvl w:ilvl="0" w:tentative="0">
      <w:start w:val="1"/>
      <w:numFmt w:val="decimal"/>
      <w:pStyle w:val="53"/>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545A367D"/>
    <w:multiLevelType w:val="multilevel"/>
    <w:tmpl w:val="545A367D"/>
    <w:lvl w:ilvl="0" w:tentative="0">
      <w:start w:val="1"/>
      <w:numFmt w:val="decimal"/>
      <w:pStyle w:val="42"/>
      <w:lvlText w:val="%1"/>
      <w:lvlJc w:val="left"/>
      <w:pPr>
        <w:tabs>
          <w:tab w:val="left" w:pos="432"/>
        </w:tabs>
        <w:ind w:left="432" w:hanging="432"/>
      </w:pPr>
      <w:rPr>
        <w:rFonts w:hint="default"/>
      </w:rPr>
    </w:lvl>
    <w:lvl w:ilvl="1" w:tentative="0">
      <w:start w:val="1"/>
      <w:numFmt w:val="decimal"/>
      <w:pStyle w:val="40"/>
      <w:lvlText w:val="%1.%2"/>
      <w:lvlJc w:val="left"/>
      <w:pPr>
        <w:tabs>
          <w:tab w:val="left" w:pos="576"/>
        </w:tabs>
        <w:ind w:left="576" w:hanging="576"/>
      </w:pPr>
      <w:rPr>
        <w:rFonts w:hint="default"/>
      </w:rPr>
    </w:lvl>
    <w:lvl w:ilvl="2" w:tentative="0">
      <w:start w:val="1"/>
      <w:numFmt w:val="decimal"/>
      <w:pStyle w:val="57"/>
      <w:lvlText w:val="%1.%2.%3"/>
      <w:lvlJc w:val="left"/>
      <w:pPr>
        <w:tabs>
          <w:tab w:val="left" w:pos="720"/>
        </w:tabs>
        <w:ind w:left="720" w:hanging="720"/>
      </w:pPr>
      <w:rPr>
        <w:rFonts w:hint="default"/>
      </w:rPr>
    </w:lvl>
    <w:lvl w:ilvl="3" w:tentative="0">
      <w:start w:val="1"/>
      <w:numFmt w:val="none"/>
      <w:lvlText w:val="%1.%2.%3.%4"/>
      <w:lvlJc w:val="left"/>
      <w:pPr>
        <w:tabs>
          <w:tab w:val="left" w:pos="864"/>
        </w:tabs>
        <w:ind w:left="864" w:hanging="864"/>
      </w:pPr>
      <w:rPr>
        <w:rFonts w:hint="default"/>
      </w:rPr>
    </w:lvl>
    <w:lvl w:ilvl="4" w:tentative="0">
      <w:start w:val="1"/>
      <w:numFmt w:val="decimal"/>
      <w:pStyle w:val="6"/>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abstractNum w:abstractNumId="2">
    <w:nsid w:val="570B1788"/>
    <w:multiLevelType w:val="multilevel"/>
    <w:tmpl w:val="570B1788"/>
    <w:lvl w:ilvl="0" w:tentative="0">
      <w:start w:val="1"/>
      <w:numFmt w:val="bullet"/>
      <w:pStyle w:val="41"/>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Times New Roman" w:hAnsi="Times New Roman" w:cs="Times New Roman"/>
      </w:rPr>
    </w:lvl>
    <w:lvl w:ilvl="2" w:tentative="0">
      <w:start w:val="141"/>
      <w:numFmt w:val="bullet"/>
      <w:lvlText w:val="•"/>
      <w:lvlJc w:val="left"/>
      <w:pPr>
        <w:tabs>
          <w:tab w:val="left" w:pos="2160"/>
        </w:tabs>
        <w:ind w:left="2160" w:hanging="360"/>
      </w:pPr>
      <w:rPr>
        <w:rFonts w:hint="default" w:ascii="Times New Roman" w:hAnsi="Times New Roman" w:cs="Times New Roman"/>
      </w:rPr>
    </w:lvl>
    <w:lvl w:ilvl="3" w:tentative="0">
      <w:start w:val="1"/>
      <w:numFmt w:val="bullet"/>
      <w:lvlText w:val="•"/>
      <w:lvlJc w:val="left"/>
      <w:pPr>
        <w:tabs>
          <w:tab w:val="left" w:pos="2880"/>
        </w:tabs>
        <w:ind w:left="2880" w:hanging="360"/>
      </w:pPr>
      <w:rPr>
        <w:rFonts w:hint="default" w:ascii="Times New Roman" w:hAnsi="Times New Roman" w:cs="Times New Roman"/>
      </w:rPr>
    </w:lvl>
    <w:lvl w:ilvl="4" w:tentative="0">
      <w:start w:val="1"/>
      <w:numFmt w:val="bullet"/>
      <w:lvlText w:val="•"/>
      <w:lvlJc w:val="left"/>
      <w:pPr>
        <w:tabs>
          <w:tab w:val="left" w:pos="3600"/>
        </w:tabs>
        <w:ind w:left="3600" w:hanging="360"/>
      </w:pPr>
      <w:rPr>
        <w:rFonts w:hint="default" w:ascii="Times New Roman" w:hAnsi="Times New Roman" w:cs="Times New Roman"/>
      </w:rPr>
    </w:lvl>
    <w:lvl w:ilvl="5" w:tentative="0">
      <w:start w:val="1"/>
      <w:numFmt w:val="bullet"/>
      <w:lvlText w:val="•"/>
      <w:lvlJc w:val="left"/>
      <w:pPr>
        <w:tabs>
          <w:tab w:val="left" w:pos="4320"/>
        </w:tabs>
        <w:ind w:left="4320" w:hanging="360"/>
      </w:pPr>
      <w:rPr>
        <w:rFonts w:hint="default" w:ascii="Times New Roman" w:hAnsi="Times New Roman" w:cs="Times New Roman"/>
      </w:rPr>
    </w:lvl>
    <w:lvl w:ilvl="6" w:tentative="0">
      <w:start w:val="1"/>
      <w:numFmt w:val="bullet"/>
      <w:lvlText w:val="•"/>
      <w:lvlJc w:val="left"/>
      <w:pPr>
        <w:tabs>
          <w:tab w:val="left" w:pos="5040"/>
        </w:tabs>
        <w:ind w:left="5040" w:hanging="360"/>
      </w:pPr>
      <w:rPr>
        <w:rFonts w:hint="default" w:ascii="Times New Roman" w:hAnsi="Times New Roman" w:cs="Times New Roman"/>
      </w:rPr>
    </w:lvl>
    <w:lvl w:ilvl="7" w:tentative="0">
      <w:start w:val="1"/>
      <w:numFmt w:val="bullet"/>
      <w:lvlText w:val="•"/>
      <w:lvlJc w:val="left"/>
      <w:pPr>
        <w:tabs>
          <w:tab w:val="left" w:pos="5760"/>
        </w:tabs>
        <w:ind w:left="5760" w:hanging="360"/>
      </w:pPr>
      <w:rPr>
        <w:rFonts w:hint="default" w:ascii="Times New Roman" w:hAnsi="Times New Roman" w:cs="Times New Roman"/>
      </w:rPr>
    </w:lvl>
    <w:lvl w:ilvl="8" w:tentative="0">
      <w:start w:val="1"/>
      <w:numFmt w:val="bullet"/>
      <w:lvlText w:val="•"/>
      <w:lvlJc w:val="left"/>
      <w:pPr>
        <w:tabs>
          <w:tab w:val="left" w:pos="6480"/>
        </w:tabs>
        <w:ind w:left="6480" w:hanging="360"/>
      </w:pPr>
      <w:rPr>
        <w:rFonts w:hint="default" w:ascii="Times New Roman" w:hAnsi="Times New Roman" w:cs="Times New Roman"/>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rawingGridHorizontalSpacing w:val="284"/>
  <w:drawingGridVerticalSpacing w:val="57"/>
  <w:doNotUseMarginsForDrawingGridOrigin w:val="1"/>
  <w:drawingGridHorizontalOrigin w:val="2608"/>
  <w:drawingGridVerticalOrigin w:val="1775"/>
  <w:noPunctuationKerning w:val="1"/>
  <w:characterSpacingControl w:val="doNotCompress"/>
  <w:footnotePr>
    <w:footnote w:id="0"/>
    <w:footnote w:id="1"/>
  </w:footnotePr>
  <w:endnotePr>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967"/>
    <w:rsid w:val="00003A65"/>
    <w:rsid w:val="00006859"/>
    <w:rsid w:val="00027B8A"/>
    <w:rsid w:val="00030FFF"/>
    <w:rsid w:val="00032C7A"/>
    <w:rsid w:val="00037AFE"/>
    <w:rsid w:val="0004112F"/>
    <w:rsid w:val="0004136D"/>
    <w:rsid w:val="000A548E"/>
    <w:rsid w:val="000B41F8"/>
    <w:rsid w:val="000E4C49"/>
    <w:rsid w:val="000F2620"/>
    <w:rsid w:val="000F6967"/>
    <w:rsid w:val="001006CA"/>
    <w:rsid w:val="00107198"/>
    <w:rsid w:val="00107C34"/>
    <w:rsid w:val="00151019"/>
    <w:rsid w:val="001E24AF"/>
    <w:rsid w:val="001E7E01"/>
    <w:rsid w:val="00200E02"/>
    <w:rsid w:val="00212978"/>
    <w:rsid w:val="00213BE7"/>
    <w:rsid w:val="00214248"/>
    <w:rsid w:val="00223E26"/>
    <w:rsid w:val="00224CF4"/>
    <w:rsid w:val="0024294D"/>
    <w:rsid w:val="0026671D"/>
    <w:rsid w:val="00282B85"/>
    <w:rsid w:val="002F0C43"/>
    <w:rsid w:val="002F3ECC"/>
    <w:rsid w:val="002F6225"/>
    <w:rsid w:val="0030132E"/>
    <w:rsid w:val="003025A9"/>
    <w:rsid w:val="00322D5C"/>
    <w:rsid w:val="00343157"/>
    <w:rsid w:val="00350FFE"/>
    <w:rsid w:val="00361DF6"/>
    <w:rsid w:val="00372B36"/>
    <w:rsid w:val="00380A15"/>
    <w:rsid w:val="003C59FD"/>
    <w:rsid w:val="003E1507"/>
    <w:rsid w:val="003F2FFD"/>
    <w:rsid w:val="003F4090"/>
    <w:rsid w:val="00460D3C"/>
    <w:rsid w:val="00466966"/>
    <w:rsid w:val="004702C5"/>
    <w:rsid w:val="00486962"/>
    <w:rsid w:val="00487410"/>
    <w:rsid w:val="004955D8"/>
    <w:rsid w:val="004A05EB"/>
    <w:rsid w:val="004A3907"/>
    <w:rsid w:val="004B610F"/>
    <w:rsid w:val="004D1044"/>
    <w:rsid w:val="00513016"/>
    <w:rsid w:val="00535431"/>
    <w:rsid w:val="00537FF6"/>
    <w:rsid w:val="0055011D"/>
    <w:rsid w:val="005713E7"/>
    <w:rsid w:val="00577F33"/>
    <w:rsid w:val="005814A0"/>
    <w:rsid w:val="0058483A"/>
    <w:rsid w:val="00586FC1"/>
    <w:rsid w:val="005A07BF"/>
    <w:rsid w:val="005B7B18"/>
    <w:rsid w:val="005E5B02"/>
    <w:rsid w:val="0063095F"/>
    <w:rsid w:val="00633BCA"/>
    <w:rsid w:val="00633C4E"/>
    <w:rsid w:val="006573C3"/>
    <w:rsid w:val="006579CB"/>
    <w:rsid w:val="00660F7C"/>
    <w:rsid w:val="006775EB"/>
    <w:rsid w:val="006A1CCF"/>
    <w:rsid w:val="006B41D6"/>
    <w:rsid w:val="006C3E47"/>
    <w:rsid w:val="006E1853"/>
    <w:rsid w:val="006F5BEA"/>
    <w:rsid w:val="00703210"/>
    <w:rsid w:val="007128A7"/>
    <w:rsid w:val="00712F8C"/>
    <w:rsid w:val="007273D4"/>
    <w:rsid w:val="00744D55"/>
    <w:rsid w:val="007803BB"/>
    <w:rsid w:val="007A458C"/>
    <w:rsid w:val="007B145B"/>
    <w:rsid w:val="007B5FBD"/>
    <w:rsid w:val="007E1F83"/>
    <w:rsid w:val="007E5C6B"/>
    <w:rsid w:val="007E7D63"/>
    <w:rsid w:val="00830968"/>
    <w:rsid w:val="00831E70"/>
    <w:rsid w:val="008461F1"/>
    <w:rsid w:val="00853BA0"/>
    <w:rsid w:val="00865BFE"/>
    <w:rsid w:val="008701FF"/>
    <w:rsid w:val="00875D10"/>
    <w:rsid w:val="008B34D1"/>
    <w:rsid w:val="008C2923"/>
    <w:rsid w:val="008C675C"/>
    <w:rsid w:val="008E50C2"/>
    <w:rsid w:val="008E5EC5"/>
    <w:rsid w:val="008F55FD"/>
    <w:rsid w:val="009213D0"/>
    <w:rsid w:val="00944098"/>
    <w:rsid w:val="0094431C"/>
    <w:rsid w:val="00962C6D"/>
    <w:rsid w:val="0097553F"/>
    <w:rsid w:val="009873C2"/>
    <w:rsid w:val="009A02FD"/>
    <w:rsid w:val="009A10D0"/>
    <w:rsid w:val="009B11A1"/>
    <w:rsid w:val="009F187F"/>
    <w:rsid w:val="009F5B5B"/>
    <w:rsid w:val="00A42E0B"/>
    <w:rsid w:val="00A93B19"/>
    <w:rsid w:val="00AA574E"/>
    <w:rsid w:val="00AC3ADE"/>
    <w:rsid w:val="00AC7C0D"/>
    <w:rsid w:val="00AE190A"/>
    <w:rsid w:val="00AF0BCF"/>
    <w:rsid w:val="00B00BDF"/>
    <w:rsid w:val="00B161E7"/>
    <w:rsid w:val="00B30304"/>
    <w:rsid w:val="00B350B6"/>
    <w:rsid w:val="00B44FA5"/>
    <w:rsid w:val="00B50540"/>
    <w:rsid w:val="00B5616C"/>
    <w:rsid w:val="00B579CC"/>
    <w:rsid w:val="00B6246A"/>
    <w:rsid w:val="00B93FF6"/>
    <w:rsid w:val="00BA5102"/>
    <w:rsid w:val="00BA73D2"/>
    <w:rsid w:val="00BE1D72"/>
    <w:rsid w:val="00BE3F35"/>
    <w:rsid w:val="00C025F3"/>
    <w:rsid w:val="00C053CB"/>
    <w:rsid w:val="00C26B4F"/>
    <w:rsid w:val="00C421E3"/>
    <w:rsid w:val="00C5353C"/>
    <w:rsid w:val="00C667F9"/>
    <w:rsid w:val="00C7142A"/>
    <w:rsid w:val="00C740C8"/>
    <w:rsid w:val="00CA6A7D"/>
    <w:rsid w:val="00CD3EFF"/>
    <w:rsid w:val="00CF0524"/>
    <w:rsid w:val="00CF34FE"/>
    <w:rsid w:val="00D1040D"/>
    <w:rsid w:val="00D17BF9"/>
    <w:rsid w:val="00D17D2D"/>
    <w:rsid w:val="00D45B2C"/>
    <w:rsid w:val="00D65F0B"/>
    <w:rsid w:val="00D8763C"/>
    <w:rsid w:val="00D9078C"/>
    <w:rsid w:val="00D91086"/>
    <w:rsid w:val="00D91B9F"/>
    <w:rsid w:val="00D94519"/>
    <w:rsid w:val="00D968E5"/>
    <w:rsid w:val="00DA1E3D"/>
    <w:rsid w:val="00DA330D"/>
    <w:rsid w:val="00DB5F69"/>
    <w:rsid w:val="00E23844"/>
    <w:rsid w:val="00E35BEE"/>
    <w:rsid w:val="00E41052"/>
    <w:rsid w:val="00E5145D"/>
    <w:rsid w:val="00E515D0"/>
    <w:rsid w:val="00E63B22"/>
    <w:rsid w:val="00EA3F82"/>
    <w:rsid w:val="00EA5A08"/>
    <w:rsid w:val="00EB51C2"/>
    <w:rsid w:val="00EF1E4D"/>
    <w:rsid w:val="00F16E5C"/>
    <w:rsid w:val="00F236CF"/>
    <w:rsid w:val="00F6301E"/>
    <w:rsid w:val="00F76ADD"/>
    <w:rsid w:val="00FB03F9"/>
    <w:rsid w:val="00FE759C"/>
    <w:rsid w:val="00FF5DBE"/>
    <w:rsid w:val="07FCA916"/>
    <w:rsid w:val="1050EF87"/>
    <w:rsid w:val="14F1A23A"/>
    <w:rsid w:val="14FCD098"/>
    <w:rsid w:val="35FFE376"/>
    <w:rsid w:val="380CE866"/>
    <w:rsid w:val="60D35543"/>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jc w:val="both"/>
    </w:pPr>
    <w:rPr>
      <w:rFonts w:ascii="Times New Roman" w:hAnsi="Times New Roman" w:eastAsia="Times New Roman" w:cs="Times New Roman"/>
      <w:sz w:val="20"/>
      <w:lang w:val="de-DE" w:eastAsia="de-DE" w:bidi="ar-SA"/>
    </w:rPr>
  </w:style>
  <w:style w:type="paragraph" w:styleId="2">
    <w:name w:val="heading 1"/>
    <w:basedOn w:val="1"/>
    <w:next w:val="1"/>
    <w:qFormat/>
    <w:uiPriority w:val="0"/>
    <w:pPr>
      <w:keepNext/>
      <w:spacing w:before="360" w:after="160"/>
      <w:outlineLvl w:val="0"/>
    </w:pPr>
    <w:rPr>
      <w:rFonts w:ascii="Times New Roman" w:hAnsi="Times New Roman" w:eastAsia="Times New Roman"/>
      <w:b/>
      <w:bCs/>
      <w:sz w:val="24"/>
      <w:szCs w:val="24"/>
      <w:lang w:val="en-GB"/>
    </w:rPr>
  </w:style>
  <w:style w:type="paragraph" w:styleId="3">
    <w:name w:val="heading 2"/>
    <w:basedOn w:val="1"/>
    <w:next w:val="1"/>
    <w:qFormat/>
    <w:uiPriority w:val="0"/>
    <w:pPr>
      <w:keepNext/>
      <w:spacing w:before="240" w:after="120"/>
      <w:outlineLvl w:val="1"/>
    </w:pPr>
    <w:rPr>
      <w:rFonts w:ascii="Times New Roman" w:hAnsi="Times New Roman" w:eastAsia="Times New Roman"/>
      <w:b/>
      <w:bCs/>
      <w:sz w:val="21"/>
      <w:lang w:val="en-GB"/>
    </w:rPr>
  </w:style>
  <w:style w:type="paragraph" w:styleId="4">
    <w:name w:val="heading 3"/>
    <w:basedOn w:val="1"/>
    <w:next w:val="1"/>
    <w:qFormat/>
    <w:uiPriority w:val="0"/>
    <w:pPr>
      <w:keepNext/>
      <w:outlineLvl w:val="2"/>
    </w:pPr>
    <w:rPr>
      <w:b/>
      <w:bCs/>
      <w:lang w:val="en-GB"/>
    </w:rPr>
  </w:style>
  <w:style w:type="paragraph" w:styleId="5">
    <w:name w:val="heading 4"/>
    <w:basedOn w:val="1"/>
    <w:next w:val="1"/>
    <w:qFormat/>
    <w:uiPriority w:val="0"/>
    <w:pPr>
      <w:keepNext/>
      <w:outlineLvl w:val="3"/>
    </w:pPr>
    <w:rPr>
      <w:i/>
      <w:iCs/>
      <w:lang w:val="en-GB"/>
    </w:rPr>
  </w:style>
  <w:style w:type="paragraph" w:styleId="6">
    <w:name w:val="heading 5"/>
    <w:basedOn w:val="1"/>
    <w:next w:val="1"/>
    <w:qFormat/>
    <w:uiPriority w:val="0"/>
    <w:pPr>
      <w:keepNext/>
      <w:numPr>
        <w:ilvl w:val="4"/>
        <w:numId w:val="1"/>
      </w:numPr>
      <w:outlineLvl w:val="4"/>
    </w:pPr>
    <w:rPr>
      <w:b/>
      <w:bCs/>
      <w:lang w:val="en-GB"/>
    </w:rPr>
  </w:style>
  <w:style w:type="paragraph" w:styleId="7">
    <w:name w:val="heading 6"/>
    <w:basedOn w:val="1"/>
    <w:next w:val="1"/>
    <w:qFormat/>
    <w:uiPriority w:val="0"/>
    <w:pPr>
      <w:numPr>
        <w:ilvl w:val="5"/>
        <w:numId w:val="1"/>
      </w:numPr>
      <w:spacing w:before="240" w:after="60"/>
      <w:outlineLvl w:val="5"/>
    </w:pPr>
    <w:rPr>
      <w:b/>
      <w:bCs/>
      <w:sz w:val="22"/>
      <w:szCs w:val="22"/>
    </w:rPr>
  </w:style>
  <w:style w:type="paragraph" w:styleId="8">
    <w:name w:val="heading 7"/>
    <w:basedOn w:val="1"/>
    <w:next w:val="1"/>
    <w:qFormat/>
    <w:uiPriority w:val="0"/>
    <w:pPr>
      <w:numPr>
        <w:ilvl w:val="6"/>
        <w:numId w:val="1"/>
      </w:numPr>
      <w:spacing w:before="240" w:after="60"/>
      <w:outlineLvl w:val="6"/>
    </w:pPr>
  </w:style>
  <w:style w:type="paragraph" w:styleId="9">
    <w:name w:val="heading 8"/>
    <w:basedOn w:val="1"/>
    <w:next w:val="1"/>
    <w:qFormat/>
    <w:uiPriority w:val="0"/>
    <w:pPr>
      <w:numPr>
        <w:ilvl w:val="7"/>
        <w:numId w:val="1"/>
      </w:numPr>
      <w:spacing w:before="240" w:after="60"/>
      <w:outlineLvl w:val="7"/>
    </w:pPr>
    <w:rPr>
      <w:i/>
      <w:iCs/>
    </w:rPr>
  </w:style>
  <w:style w:type="paragraph" w:styleId="10">
    <w:name w:val="heading 9"/>
    <w:basedOn w:val="1"/>
    <w:next w:val="1"/>
    <w:qFormat/>
    <w:uiPriority w:val="0"/>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uiPriority w:val="0"/>
    <w:rPr>
      <w:lang w:val="en-GB"/>
    </w:rPr>
  </w:style>
  <w:style w:type="paragraph" w:styleId="14">
    <w:name w:val="Body Text 3"/>
    <w:basedOn w:val="1"/>
    <w:qFormat/>
    <w:uiPriority w:val="0"/>
    <w:rPr>
      <w:lang w:val="en-GB"/>
    </w:rPr>
  </w:style>
  <w:style w:type="paragraph" w:styleId="15">
    <w:name w:val="Body Text Indent"/>
    <w:basedOn w:val="1"/>
    <w:qFormat/>
    <w:uiPriority w:val="0"/>
    <w:rPr>
      <w:sz w:val="18"/>
      <w:szCs w:val="18"/>
      <w:lang w:val="en-GB"/>
    </w:rPr>
  </w:style>
  <w:style w:type="paragraph" w:styleId="16">
    <w:name w:val="Body Text Indent 2"/>
    <w:basedOn w:val="1"/>
    <w:qFormat/>
    <w:uiPriority w:val="0"/>
    <w:pPr>
      <w:ind w:left="1068"/>
    </w:pPr>
    <w:rPr>
      <w:lang w:val="en-GB"/>
    </w:rPr>
  </w:style>
  <w:style w:type="paragraph" w:styleId="17">
    <w:name w:val="Body Text Indent 3"/>
    <w:basedOn w:val="1"/>
    <w:uiPriority w:val="0"/>
    <w:pPr>
      <w:ind w:firstLine="340"/>
    </w:pPr>
    <w:rPr>
      <w:lang w:val="en-GB"/>
    </w:rPr>
  </w:style>
  <w:style w:type="paragraph" w:styleId="18">
    <w:name w:val="caption"/>
    <w:basedOn w:val="1"/>
    <w:next w:val="1"/>
    <w:qFormat/>
    <w:uiPriority w:val="0"/>
    <w:pPr>
      <w:spacing w:before="120" w:after="120"/>
    </w:pPr>
    <w:rPr>
      <w:b/>
      <w:bCs/>
    </w:rPr>
  </w:style>
  <w:style w:type="character" w:styleId="19">
    <w:name w:val="annotation reference"/>
    <w:semiHidden/>
    <w:uiPriority w:val="0"/>
    <w:rPr>
      <w:sz w:val="16"/>
      <w:szCs w:val="16"/>
    </w:rPr>
  </w:style>
  <w:style w:type="paragraph" w:styleId="20">
    <w:name w:val="annotation text"/>
    <w:basedOn w:val="1"/>
    <w:link w:val="69"/>
    <w:semiHidden/>
    <w:qFormat/>
    <w:uiPriority w:val="0"/>
  </w:style>
  <w:style w:type="paragraph" w:styleId="21">
    <w:name w:val="annotation subject"/>
    <w:basedOn w:val="20"/>
    <w:next w:val="20"/>
    <w:link w:val="70"/>
    <w:qFormat/>
    <w:uiPriority w:val="0"/>
    <w:rPr>
      <w:b/>
      <w:bCs/>
    </w:rPr>
  </w:style>
  <w:style w:type="character" w:styleId="22">
    <w:name w:val="Emphasis"/>
    <w:qFormat/>
    <w:uiPriority w:val="0"/>
    <w:rPr>
      <w:i/>
      <w:iCs/>
    </w:rPr>
  </w:style>
  <w:style w:type="character" w:styleId="23">
    <w:name w:val="FollowedHyperlink"/>
    <w:uiPriority w:val="0"/>
    <w:rPr>
      <w:color w:val="800080"/>
      <w:u w:val="single"/>
    </w:rPr>
  </w:style>
  <w:style w:type="paragraph" w:styleId="24">
    <w:name w:val="footer"/>
    <w:basedOn w:val="1"/>
    <w:link w:val="72"/>
    <w:qFormat/>
    <w:uiPriority w:val="0"/>
    <w:pPr>
      <w:tabs>
        <w:tab w:val="center" w:pos="4536"/>
        <w:tab w:val="right" w:pos="9072"/>
      </w:tabs>
    </w:pPr>
  </w:style>
  <w:style w:type="paragraph" w:styleId="25">
    <w:name w:val="header"/>
    <w:basedOn w:val="1"/>
    <w:link w:val="71"/>
    <w:qFormat/>
    <w:uiPriority w:val="99"/>
    <w:pPr>
      <w:tabs>
        <w:tab w:val="center" w:pos="4536"/>
        <w:tab w:val="right" w:pos="9072"/>
      </w:tabs>
    </w:pPr>
  </w:style>
  <w:style w:type="character" w:styleId="26">
    <w:name w:val="Hyperlink"/>
    <w:uiPriority w:val="99"/>
    <w:rPr>
      <w:color w:val="auto"/>
      <w:u w:val="none"/>
    </w:rPr>
  </w:style>
  <w:style w:type="character" w:styleId="27">
    <w:name w:val="page number"/>
    <w:basedOn w:val="11"/>
    <w:qFormat/>
    <w:uiPriority w:val="0"/>
  </w:style>
  <w:style w:type="paragraph" w:styleId="28">
    <w:name w:val="Plain Text"/>
    <w:basedOn w:val="1"/>
    <w:uiPriority w:val="0"/>
    <w:rPr>
      <w:rFonts w:ascii="Courier New" w:hAnsi="Courier New" w:cs="Courier New"/>
    </w:rPr>
  </w:style>
  <w:style w:type="table" w:styleId="29">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itle"/>
    <w:basedOn w:val="1"/>
    <w:qFormat/>
    <w:uiPriority w:val="0"/>
    <w:pPr>
      <w:spacing w:before="240" w:after="60"/>
      <w:jc w:val="center"/>
      <w:outlineLvl w:val="0"/>
    </w:pPr>
    <w:rPr>
      <w:rFonts w:ascii="Times New Roman" w:hAnsi="Times New Roman" w:eastAsia="Times New Roman" w:cs="Arial"/>
      <w:b/>
      <w:bCs/>
      <w:kern w:val="28"/>
      <w:sz w:val="30"/>
      <w:szCs w:val="28"/>
    </w:rPr>
  </w:style>
  <w:style w:type="paragraph" w:customStyle="1" w:styleId="31">
    <w:name w:val="Textkörper-Einzug"/>
    <w:basedOn w:val="1"/>
    <w:uiPriority w:val="0"/>
    <w:pPr>
      <w:ind w:left="708"/>
    </w:pPr>
    <w:rPr>
      <w:lang w:val="en-GB"/>
    </w:rPr>
  </w:style>
  <w:style w:type="paragraph" w:customStyle="1" w:styleId="32">
    <w:name w:val="Formatvorlage1"/>
    <w:basedOn w:val="16"/>
    <w:qFormat/>
    <w:uiPriority w:val="0"/>
    <w:pPr>
      <w:ind w:left="0"/>
    </w:pPr>
  </w:style>
  <w:style w:type="paragraph" w:customStyle="1" w:styleId="33">
    <w:name w:val="Comment Subject1"/>
    <w:basedOn w:val="20"/>
    <w:next w:val="20"/>
    <w:semiHidden/>
    <w:uiPriority w:val="0"/>
    <w:rPr>
      <w:b/>
      <w:bCs/>
    </w:rPr>
  </w:style>
  <w:style w:type="paragraph" w:customStyle="1" w:styleId="34">
    <w:name w:val="Sprechblasentext1"/>
    <w:basedOn w:val="1"/>
    <w:semiHidden/>
    <w:qFormat/>
    <w:uiPriority w:val="0"/>
    <w:rPr>
      <w:rFonts w:ascii="Tahoma" w:hAnsi="Tahoma" w:cs="Tahoma"/>
      <w:sz w:val="16"/>
      <w:szCs w:val="16"/>
    </w:rPr>
  </w:style>
  <w:style w:type="paragraph" w:customStyle="1" w:styleId="35">
    <w:name w:val="Comment Subject2"/>
    <w:basedOn w:val="20"/>
    <w:next w:val="20"/>
    <w:semiHidden/>
    <w:qFormat/>
    <w:uiPriority w:val="0"/>
    <w:rPr>
      <w:b/>
      <w:bCs/>
    </w:rPr>
  </w:style>
  <w:style w:type="paragraph" w:customStyle="1" w:styleId="36">
    <w:name w:val="JUCS Paragraph"/>
    <w:basedOn w:val="16"/>
    <w:qFormat/>
    <w:uiPriority w:val="0"/>
    <w:pPr>
      <w:ind w:left="0" w:firstLine="340"/>
    </w:pPr>
  </w:style>
  <w:style w:type="character" w:customStyle="1" w:styleId="37">
    <w:name w:val="Textkörper-Einzug 2 Char"/>
    <w:uiPriority w:val="0"/>
    <w:rPr>
      <w:sz w:val="24"/>
      <w:szCs w:val="24"/>
      <w:lang w:val="en-GB" w:eastAsia="de-DE"/>
    </w:rPr>
  </w:style>
  <w:style w:type="character" w:customStyle="1" w:styleId="38">
    <w:name w:val="JUCS Paragraph Char"/>
    <w:basedOn w:val="37"/>
    <w:qFormat/>
    <w:uiPriority w:val="0"/>
    <w:rPr>
      <w:sz w:val="24"/>
      <w:szCs w:val="24"/>
      <w:lang w:val="en-GB" w:eastAsia="de-DE"/>
    </w:rPr>
  </w:style>
  <w:style w:type="paragraph" w:customStyle="1" w:styleId="39">
    <w:name w:val="JUCS First Paragraph"/>
    <w:basedOn w:val="1"/>
    <w:uiPriority w:val="0"/>
  </w:style>
  <w:style w:type="paragraph" w:customStyle="1" w:styleId="40">
    <w:name w:val="JUCS Heading 2"/>
    <w:basedOn w:val="3"/>
    <w:uiPriority w:val="0"/>
    <w:pPr>
      <w:numPr>
        <w:ilvl w:val="1"/>
        <w:numId w:val="1"/>
      </w:numPr>
      <w:spacing w:before="240" w:after="120"/>
    </w:pPr>
  </w:style>
  <w:style w:type="paragraph" w:customStyle="1" w:styleId="41">
    <w:name w:val="JUCS List"/>
    <w:basedOn w:val="16"/>
    <w:uiPriority w:val="0"/>
    <w:pPr>
      <w:numPr>
        <w:ilvl w:val="0"/>
        <w:numId w:val="2"/>
      </w:numPr>
    </w:pPr>
  </w:style>
  <w:style w:type="paragraph" w:customStyle="1" w:styleId="42">
    <w:name w:val="JUCS Heading 1"/>
    <w:basedOn w:val="2"/>
    <w:qFormat/>
    <w:uiPriority w:val="0"/>
    <w:pPr>
      <w:numPr>
        <w:ilvl w:val="0"/>
        <w:numId w:val="1"/>
      </w:numPr>
      <w:spacing w:before="360" w:after="120"/>
    </w:pPr>
  </w:style>
  <w:style w:type="paragraph" w:customStyle="1" w:styleId="43">
    <w:name w:val="JUCS Abstract"/>
    <w:basedOn w:val="1"/>
    <w:uiPriority w:val="0"/>
    <w:pPr>
      <w:spacing w:before="540"/>
    </w:pPr>
    <w:rPr>
      <w:rFonts w:ascii="Times" w:hAnsi="Times" w:cs="Times"/>
      <w:sz w:val="18"/>
      <w:szCs w:val="18"/>
      <w:lang w:val="en-GB"/>
    </w:rPr>
  </w:style>
  <w:style w:type="paragraph" w:customStyle="1" w:styleId="44">
    <w:name w:val="JUCS Title"/>
    <w:basedOn w:val="30"/>
    <w:qFormat/>
    <w:uiPriority w:val="0"/>
    <w:pPr>
      <w:spacing w:before="120" w:after="260"/>
    </w:pPr>
    <w:rPr>
      <w:rFonts w:ascii="Times New Roman" w:hAnsi="Times New Roman" w:cs="Times New Roman"/>
      <w:lang w:val="en-GB"/>
    </w:rPr>
  </w:style>
  <w:style w:type="paragraph" w:customStyle="1" w:styleId="45">
    <w:name w:val="JUCS Author"/>
    <w:basedOn w:val="1"/>
    <w:uiPriority w:val="0"/>
    <w:pPr>
      <w:spacing w:before="320"/>
      <w:jc w:val="center"/>
    </w:pPr>
  </w:style>
  <w:style w:type="paragraph" w:customStyle="1" w:styleId="46">
    <w:name w:val="JUCS Affilitation"/>
    <w:basedOn w:val="1"/>
    <w:uiPriority w:val="0"/>
    <w:pPr>
      <w:jc w:val="center"/>
    </w:pPr>
    <w:rPr>
      <w:sz w:val="18"/>
      <w:szCs w:val="18"/>
      <w:lang w:val="en-GB"/>
    </w:rPr>
  </w:style>
  <w:style w:type="character" w:customStyle="1" w:styleId="47">
    <w:name w:val="JUCS Author Char"/>
    <w:uiPriority w:val="0"/>
    <w:rPr>
      <w:lang w:val="de-DE" w:eastAsia="de-DE" w:bidi="ar-SA"/>
    </w:rPr>
  </w:style>
  <w:style w:type="paragraph" w:customStyle="1" w:styleId="48">
    <w:name w:val="JUCS Keywords"/>
    <w:basedOn w:val="1"/>
    <w:qFormat/>
    <w:uiPriority w:val="0"/>
    <w:pPr>
      <w:autoSpaceDE w:val="0"/>
      <w:autoSpaceDN w:val="0"/>
      <w:adjustRightInd w:val="0"/>
      <w:spacing w:before="180"/>
      <w:jc w:val="left"/>
    </w:pPr>
    <w:rPr>
      <w:rFonts w:ascii="Times" w:hAnsi="Times"/>
      <w:bCs/>
      <w:sz w:val="18"/>
      <w:szCs w:val="18"/>
      <w:lang w:val="en-GB"/>
    </w:rPr>
  </w:style>
  <w:style w:type="paragraph" w:customStyle="1" w:styleId="49">
    <w:name w:val="Style JUCS Keywords + Left"/>
    <w:basedOn w:val="48"/>
    <w:uiPriority w:val="0"/>
    <w:rPr>
      <w:b/>
    </w:rPr>
  </w:style>
  <w:style w:type="paragraph" w:customStyle="1" w:styleId="50">
    <w:name w:val="JUCS Paragraph First"/>
    <w:basedOn w:val="1"/>
    <w:uiPriority w:val="0"/>
    <w:pPr>
      <w:autoSpaceDE w:val="0"/>
      <w:autoSpaceDN w:val="0"/>
      <w:adjustRightInd w:val="0"/>
    </w:pPr>
    <w:rPr>
      <w:lang w:val="en-GB"/>
    </w:rPr>
  </w:style>
  <w:style w:type="character" w:customStyle="1" w:styleId="51">
    <w:name w:val="Body Text Indent 2 Char"/>
    <w:qFormat/>
    <w:uiPriority w:val="0"/>
    <w:rPr>
      <w:lang w:val="en-GB" w:eastAsia="de-DE" w:bidi="ar-SA"/>
    </w:rPr>
  </w:style>
  <w:style w:type="character" w:customStyle="1" w:styleId="52">
    <w:name w:val="JUCS Paragraph Char1"/>
    <w:basedOn w:val="51"/>
    <w:uiPriority w:val="0"/>
    <w:rPr>
      <w:lang w:val="en-GB" w:eastAsia="de-DE" w:bidi="ar-SA"/>
    </w:rPr>
  </w:style>
  <w:style w:type="paragraph" w:customStyle="1" w:styleId="53">
    <w:name w:val="JUCS Numbering"/>
    <w:basedOn w:val="1"/>
    <w:uiPriority w:val="0"/>
    <w:pPr>
      <w:numPr>
        <w:ilvl w:val="0"/>
        <w:numId w:val="3"/>
      </w:numPr>
    </w:pPr>
    <w:rPr>
      <w:lang w:val="en-GB"/>
    </w:rPr>
  </w:style>
  <w:style w:type="paragraph" w:customStyle="1" w:styleId="54">
    <w:name w:val="JUCS Figure"/>
    <w:basedOn w:val="31"/>
    <w:qFormat/>
    <w:uiPriority w:val="0"/>
    <w:pPr>
      <w:spacing w:before="240" w:after="120"/>
      <w:ind w:left="0"/>
      <w:jc w:val="center"/>
    </w:pPr>
  </w:style>
  <w:style w:type="paragraph" w:customStyle="1" w:styleId="55">
    <w:name w:val="JUCS Figure Title"/>
    <w:basedOn w:val="18"/>
    <w:qFormat/>
    <w:uiPriority w:val="0"/>
    <w:pPr>
      <w:spacing w:before="240" w:after="240"/>
      <w:jc w:val="center"/>
    </w:pPr>
    <w:rPr>
      <w:rFonts w:ascii="Times" w:hAnsi="Times"/>
      <w:b w:val="0"/>
      <w:bCs w:val="0"/>
      <w:i/>
      <w:iCs/>
      <w:lang w:val="en-GB"/>
    </w:rPr>
  </w:style>
  <w:style w:type="paragraph" w:customStyle="1" w:styleId="56">
    <w:name w:val="JUCS Box"/>
    <w:basedOn w:val="16"/>
    <w:qFormat/>
    <w:uiPriority w:val="0"/>
    <w:pPr>
      <w:ind w:left="0"/>
    </w:pPr>
    <w:rPr>
      <w:b/>
      <w:bCs/>
    </w:rPr>
  </w:style>
  <w:style w:type="paragraph" w:customStyle="1" w:styleId="57">
    <w:name w:val="JUCS Heading 3"/>
    <w:basedOn w:val="4"/>
    <w:qFormat/>
    <w:uiPriority w:val="0"/>
    <w:pPr>
      <w:numPr>
        <w:ilvl w:val="2"/>
        <w:numId w:val="1"/>
      </w:numPr>
      <w:spacing w:before="240" w:after="120"/>
    </w:pPr>
  </w:style>
  <w:style w:type="paragraph" w:customStyle="1" w:styleId="58">
    <w:name w:val="JUCS Table Title"/>
    <w:basedOn w:val="1"/>
    <w:uiPriority w:val="0"/>
    <w:pPr>
      <w:spacing w:before="120" w:after="120"/>
      <w:jc w:val="center"/>
    </w:pPr>
    <w:rPr>
      <w:rFonts w:ascii="Times" w:hAnsi="Times"/>
      <w:bCs/>
      <w:i/>
      <w:lang w:val="en-GB"/>
    </w:rPr>
  </w:style>
  <w:style w:type="paragraph" w:customStyle="1" w:styleId="59">
    <w:name w:val="JUCS Table Heading"/>
    <w:basedOn w:val="58"/>
    <w:qFormat/>
    <w:uiPriority w:val="0"/>
    <w:pPr>
      <w:spacing w:before="0" w:after="0"/>
      <w:jc w:val="left"/>
    </w:pPr>
    <w:rPr>
      <w:b/>
      <w:i w:val="0"/>
    </w:rPr>
  </w:style>
  <w:style w:type="paragraph" w:customStyle="1" w:styleId="60">
    <w:name w:val="JUCS Table"/>
    <w:basedOn w:val="58"/>
    <w:qFormat/>
    <w:uiPriority w:val="0"/>
    <w:pPr>
      <w:spacing w:before="0" w:after="0"/>
      <w:jc w:val="left"/>
    </w:pPr>
    <w:rPr>
      <w:bCs w:val="0"/>
      <w:i w:val="0"/>
    </w:rPr>
  </w:style>
  <w:style w:type="paragraph" w:customStyle="1" w:styleId="61">
    <w:name w:val="JUCS Heading 4"/>
    <w:basedOn w:val="5"/>
    <w:qFormat/>
    <w:uiPriority w:val="0"/>
    <w:pPr>
      <w:spacing w:before="120" w:after="120"/>
    </w:pPr>
  </w:style>
  <w:style w:type="paragraph" w:customStyle="1" w:styleId="62">
    <w:name w:val="JUCS Reference Heading"/>
    <w:basedOn w:val="2"/>
    <w:qFormat/>
    <w:uiPriority w:val="0"/>
    <w:pPr>
      <w:spacing w:before="240" w:after="120"/>
    </w:pPr>
  </w:style>
  <w:style w:type="paragraph" w:customStyle="1" w:styleId="63">
    <w:name w:val="JUCS References"/>
    <w:basedOn w:val="1"/>
    <w:uiPriority w:val="0"/>
    <w:pPr>
      <w:autoSpaceDE w:val="0"/>
      <w:autoSpaceDN w:val="0"/>
      <w:adjustRightInd w:val="0"/>
      <w:spacing w:before="120"/>
      <w:jc w:val="left"/>
    </w:pPr>
    <w:rPr>
      <w:sz w:val="18"/>
      <w:szCs w:val="18"/>
      <w:lang w:val="en-GB"/>
    </w:rPr>
  </w:style>
  <w:style w:type="paragraph" w:customStyle="1" w:styleId="64">
    <w:name w:val="JUCS SourceCode"/>
    <w:basedOn w:val="28"/>
    <w:qFormat/>
    <w:uiPriority w:val="0"/>
  </w:style>
  <w:style w:type="paragraph" w:customStyle="1" w:styleId="65">
    <w:name w:val="JUCS citation"/>
    <w:basedOn w:val="36"/>
    <w:qFormat/>
    <w:uiPriority w:val="0"/>
    <w:pPr>
      <w:tabs>
        <w:tab w:val="left" w:pos="567"/>
      </w:tabs>
      <w:spacing w:before="120" w:after="120"/>
      <w:ind w:firstLine="0"/>
    </w:pPr>
    <w:rPr>
      <w:i/>
    </w:rPr>
  </w:style>
  <w:style w:type="character" w:customStyle="1" w:styleId="66">
    <w:name w:val="Caption Char"/>
    <w:qFormat/>
    <w:uiPriority w:val="0"/>
    <w:rPr>
      <w:b/>
      <w:bCs/>
      <w:lang w:val="de-DE" w:eastAsia="de-DE" w:bidi="ar-SA"/>
    </w:rPr>
  </w:style>
  <w:style w:type="character" w:customStyle="1" w:styleId="67">
    <w:name w:val="JUCS Figure Title Char"/>
    <w:qFormat/>
    <w:uiPriority w:val="0"/>
    <w:rPr>
      <w:rFonts w:ascii="Times" w:hAnsi="Times"/>
      <w:b/>
      <w:bCs/>
      <w:i/>
      <w:iCs/>
      <w:lang w:val="en-GB" w:eastAsia="de-DE" w:bidi="ar-SA"/>
    </w:rPr>
  </w:style>
  <w:style w:type="character" w:customStyle="1" w:styleId="68">
    <w:name w:val="Unresolved Mention"/>
    <w:semiHidden/>
    <w:unhideWhenUsed/>
    <w:qFormat/>
    <w:uiPriority w:val="99"/>
    <w:rPr>
      <w:color w:val="605E5C"/>
      <w:shd w:val="clear" w:color="auto" w:fill="E1DFDD"/>
    </w:rPr>
  </w:style>
  <w:style w:type="character" w:customStyle="1" w:styleId="69">
    <w:name w:val="Kommentartext Zchn"/>
    <w:basedOn w:val="11"/>
    <w:link w:val="20"/>
    <w:semiHidden/>
    <w:qFormat/>
    <w:uiPriority w:val="0"/>
  </w:style>
  <w:style w:type="character" w:customStyle="1" w:styleId="70">
    <w:name w:val="Kommentarthema Zchn"/>
    <w:link w:val="21"/>
    <w:qFormat/>
    <w:uiPriority w:val="0"/>
    <w:rPr>
      <w:b/>
      <w:bCs/>
    </w:rPr>
  </w:style>
  <w:style w:type="character" w:customStyle="1" w:styleId="71">
    <w:name w:val="Kopfzeile Zchn"/>
    <w:basedOn w:val="11"/>
    <w:link w:val="25"/>
    <w:qFormat/>
    <w:uiPriority w:val="99"/>
  </w:style>
  <w:style w:type="character" w:customStyle="1" w:styleId="72">
    <w:name w:val="Fußzeile Zchn"/>
    <w:basedOn w:val="11"/>
    <w:link w:val="24"/>
    <w:qFormat/>
    <w:uiPriority w:val="0"/>
  </w:style>
  <w:style w:type="paragraph" w:customStyle="1" w:styleId="73">
    <w:name w:val="JUCS Orcid"/>
    <w:basedOn w:val="46"/>
    <w:qFormat/>
    <w:uiPriority w:val="0"/>
    <w:rPr>
      <w:color w:val="000000"/>
      <w:sz w:val="20"/>
      <w:szCs w:val="20"/>
    </w:rPr>
  </w:style>
  <w:style w:type="paragraph" w:customStyle="1" w:styleId="74">
    <w:name w:val="JUCS Caption"/>
    <w:qFormat/>
    <w:uiPriority w:val="0"/>
    <w:pPr>
      <w:spacing w:before="240" w:after="240"/>
      <w:jc w:val="center"/>
    </w:pPr>
    <w:rPr>
      <w:rFonts w:ascii="Times New Roman" w:hAnsi="Times New Roman" w:eastAsia="Times New Roman" w:cs="Times New Roman"/>
      <w:i/>
      <w:sz w:val="20"/>
      <w:lang w:val="de-AT" w:eastAsia="de-AT" w:bidi="ar-SA"/>
    </w:rPr>
  </w:style>
</w:styl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 Type="http://schemas.openxmlformats.org/officeDocument/2006/relationships/styles" Target="styles.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 Id="rIdImg7" Type="http://schemas.openxmlformats.org/officeDocument/2006/relationships/image" Target="media/fig7.png"/><Relationship Id="rIdImg8" Type="http://schemas.openxmlformats.org/officeDocument/2006/relationships/image" Target="media/fig8.png"/><Relationship Id="rIdImg9" Type="http://schemas.openxmlformats.org/officeDocument/2006/relationships/image" Target="media/fig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59F9A-6F19-453E-938B-6A741B2C369D}">
  <ds:schemaRefs/>
</ds:datastoreItem>
</file>

<file path=docProps/app.xml><?xml version="1.0" encoding="utf-8"?>
<Properties xmlns="http://schemas.openxmlformats.org/officeDocument/2006/extended-properties" xmlns:vt="http://schemas.openxmlformats.org/officeDocument/2006/docPropsVTypes">
  <Template>Normal.dotm</Template>
  <Company>Journal of Universal Computer Science</Company>
  <Pages>20</Pages>
  <Words>6508</Words>
  <Characters>38819</Characters>
  <TotalTime>1</TotalTime>
  <ScaleCrop>false</ScaleCrop>
  <LinksUpToDate>false</LinksUpToDate>
  <CharactersWithSpaces>44904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2024-12-17T10:13:00Z</dcterms:created>
  <dc:creator>Maddula Aruna Grace</dc:creator>
  <cp:lastModifiedBy>Krishita Myneni</cp:lastModifiedBy>
  <cp:lastPrinted>2021-03-19T08:51:00Z</cp:lastPrinted>
  <dcterms:modified xsi:type="dcterms:W3CDTF">2026-10-26T03:53:39Z</dcterms:modified>
  <dc:subject>Edited for clearer, more natural academic prose; research details retained</dc:subject>
  <dc:title>PhishXpert</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CS_Volume">
    <vt:i4>27</vt:i4>
  </property>
  <property fmtid="{D5CDD505-2E9C-101B-9397-08002B2CF9AE}" pid="3" name="J.UCS_Issue">
    <vt:i4>1</vt:i4>
  </property>
  <property fmtid="{D5CDD505-2E9C-101B-9397-08002B2CF9AE}" pid="4" name="J.UCS_PublishYear">
    <vt:i4>2021</vt:i4>
  </property>
  <property fmtid="{D5CDD505-2E9C-101B-9397-08002B2CF9AE}" pid="5" name="J.UCS_Startpage">
    <vt:i4>2987</vt:i4>
  </property>
  <property fmtid="{D5CDD505-2E9C-101B-9397-08002B2CF9AE}" pid="6" name="J.UCS_SubmitDate">
    <vt:lpwstr>1/1/2021</vt:lpwstr>
  </property>
  <property fmtid="{D5CDD505-2E9C-101B-9397-08002B2CF9AE}" pid="7" name="J.UCS_AcceptDate">
    <vt:lpwstr>2/2/2021</vt:lpwstr>
  </property>
  <property fmtid="{D5CDD505-2E9C-101B-9397-08002B2CF9AE}" pid="8" name="J.UCS_PublishDate">
    <vt:lpwstr>3/3/2021</vt:lpwstr>
  </property>
  <property fmtid="{D5CDD505-2E9C-101B-9397-08002B2CF9AE}" pid="9" name="KSOTemplateDocerSaveRecord">
    <vt:lpwstr>eyJoZGlkIjoiNzRjYzg3MjY1YjI1NGEyMzU4ODQ1YTIyZTA4Nzk4NjIiLCJ1c2VySWQiOiI1Njc1NTEwODgzMzgifQ==</vt:lpwstr>
  </property>
  <property fmtid="{D5CDD505-2E9C-101B-9397-08002B2CF9AE}" pid="10" name="KSOProductBuildVer">
    <vt:lpwstr>1033-12.1.0.29162</vt:lpwstr>
  </property>
  <property fmtid="{D5CDD505-2E9C-101B-9397-08002B2CF9AE}" pid="11" name="ICV">
    <vt:lpwstr>E641BD219EBF40388F1007F739D5F29A_12</vt:lpwstr>
  </property>
</Properties>
</file>