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b/>
          <w:bCs/>
          <w:color w:val="123B5D"/>
          <w:sz w:val="40"/>
          <w:szCs w:val="40"/>
        </w:rPr>
        <w:t xml:space="preserve">Technical Proposal - NSO 250 MW / 1000 MWh Standalone BESS</w:t>
      </w:r>
    </w:p>
    <w:p>
      <w:pPr>
        <w:spacing w:after="200"/>
      </w:pPr>
      <w:r>
        <w:rPr>
          <w:b/>
          <w:bCs/>
          <w:color w:val="C00000"/>
          <w:sz w:val="20"/>
          <w:szCs w:val="20"/>
        </w:rPr>
        <w:t xml:space="preserve">DRAFT FOR ENVISION COMPLETION - not an Envision document</w:t>
      </w:r>
    </w:p>
    <w:tbl>
      <w:tblPr>
        <w:tblW w:type="dxa" w:w="9028"/>
        <w:tblBorders>
          <w:top w:val="none" w:color="auto" w:sz="0"/>
          <w:left w:val="single" w:color="C00000" w:sz="18"/>
          <w:bottom w:val="none" w:color="auto" w:sz="0"/>
          <w:right w:val="none" w:color="auto" w:sz="0"/>
          <w:insideH w:val="none" w:color="auto" w:sz="0"/>
          <w:insideV w:val="none" w:color="auto" w:sz="0"/>
        </w:tblBorders>
      </w:tblPr>
      <w:tblGrid>
        <w:gridCol w:w="9028"/>
      </w:tblGrid>
      <w:tr>
        <w:tc>
          <w:tcPr>
            <w:tcW w:type="dxa" w:w="9028"/>
            <w:shd w:fill="FBEFEF" w:color="auto" w:val="clear"/>
            <w:tcMar>
              <w:top w:type="dxa" w:w="140"/>
              <w:left w:type="dxa" w:w="180"/>
              <w:bottom w:type="dxa" w:w="140"/>
              <w:right w:type="dxa" w:w="180"/>
            </w:tcMar>
          </w:tcPr>
          <w:p>
            <w:pPr>
              <w:spacing w:after="0" w:line="264"/>
            </w:pPr>
            <w:r>
              <w:rPr>
                <w:b/>
                <w:bCs/>
                <w:color w:val="1A1A1A"/>
                <w:sz w:val="18"/>
                <w:szCs w:val="18"/>
              </w:rPr>
              <w:t xml:space="preserve">DRAFT PROPOSAL PREPARED BY THE BIDDER'S ADVISOR - NOT AN ENVISION DOCUMENT AND NOT AN OFFER. This draft assembles, from the material Envision has supplied to date, the technical proposal that most closely fits the tender. Text in BLACK is sourced from a received Envision or NSO document. Text in RED is DRAFTED GAP-FILL: it was NOT found in any received Envision document and is written the way the tender requires it to read, so that Envision can confirm it, correct it, or replace it. No red statement has been verified with Envision and none may be relied upon or submitted until Envision has adopted it in writing.</w:t>
            </w:r>
          </w:p>
        </w:tc>
      </w:tr>
    </w:tbl>
    <w:p>
      <w:pPr>
        <w:spacing w:after="120" w:line="276"/>
      </w:pPr>
      <w:r>
        <w:t xml:space="preserve"/>
      </w:r>
    </w:p>
    <w:p>
      <w:pPr>
        <w:spacing w:after="120" w:line="276"/>
      </w:pPr>
      <w:r>
        <w:rPr>
          <w:color w:val="5A6472"/>
          <w:sz w:val="18"/>
          <w:szCs w:val="18"/>
        </w:rPr>
        <w:t xml:space="preserve">SOURCE DOCUMENTS GOVERN. Where this draft and a tender document, an Envision document or an issued addendum or clarification disagree, that document governs and this draft is wrong. Clause references are to NSO RFP Volumes I-III, Addendum No. 01 (7 August 2026), Annex A Functional and Performance Requirement, and the 76-item clarification register (21 August 2026), all held in the corpus with SHA-256 recorded in MANIFEST.sha256.</w:t>
      </w:r>
    </w:p>
    <w:p>
      <w:pPr>
        <w:spacing w:after="120" w:line="276"/>
      </w:pPr>
      <w:r>
        <w:t xml:space="preserve"/>
      </w:r>
    </w:p>
    <w:p>
      <w:pPr>
        <w:pStyle w:val="Heading1"/>
        <w:spacing w:after="140" w:before="200"/>
      </w:pPr>
      <w:r>
        <w:rPr>
          <w:b/>
          <w:bCs/>
          <w:color w:val="123B5D"/>
          <w:sz w:val="26"/>
          <w:szCs w:val="26"/>
        </w:rPr>
        <w:t xml:space="preserve">0. Document control</w:t>
      </w:r>
    </w:p>
    <w:tbl>
      <w:tblPr>
        <w:tblW w:type="dxa" w:w="9028"/>
        <w:tblBorders>
          <w:top w:val="single" w:color="C9D2DA" w:sz="6"/>
          <w:left w:val="none" w:color="auto" w:sz="0"/>
          <w:bottom w:val="single" w:color="C9D2DA" w:sz="6"/>
          <w:right w:val="none" w:color="auto" w:sz="0"/>
          <w:insideH w:val="single" w:color="C9D2DA" w:sz="4"/>
          <w:insideV w:val="none" w:color="auto" w:sz="0"/>
        </w:tblBorders>
      </w:tblPr>
      <w:tblGrid>
        <w:gridCol w:w="2528"/>
        <w:gridCol w:w="6500"/>
      </w:tblGrid>
      <w:tr>
        <w:trPr>
          <w:tblHeader/>
        </w:trPr>
        <w:tc>
          <w:tcPr>
            <w:tcW w:type="dxa" w:w="2528"/>
            <w:shd w:fill="123B5D" w:color="auto" w:val="clear"/>
            <w:tcMar>
              <w:top w:type="dxa" w:w="90"/>
              <w:left w:type="dxa" w:w="120"/>
              <w:bottom w:type="dxa" w:w="90"/>
              <w:right w:type="dxa" w:w="120"/>
            </w:tcMar>
          </w:tcPr>
          <w:p>
            <w:pPr>
              <w:spacing w:after="0"/>
            </w:pPr>
            <w:r>
              <w:rPr>
                <w:b/>
                <w:bCs/>
                <w:color w:val="FFFFFF"/>
                <w:sz w:val="17"/>
                <w:szCs w:val="17"/>
              </w:rPr>
              <w:t xml:space="preserve">Control field</w:t>
            </w:r>
          </w:p>
        </w:tc>
        <w:tc>
          <w:tcPr>
            <w:tcW w:type="dxa" w:w="6500"/>
            <w:shd w:fill="123B5D" w:color="auto" w:val="clear"/>
            <w:tcMar>
              <w:top w:type="dxa" w:w="90"/>
              <w:left w:type="dxa" w:w="120"/>
              <w:bottom w:type="dxa" w:w="90"/>
              <w:right w:type="dxa" w:w="120"/>
            </w:tcMar>
          </w:tcPr>
          <w:p>
            <w:pPr>
              <w:spacing w:after="0"/>
            </w:pPr>
            <w:r>
              <w:rPr>
                <w:b/>
                <w:bCs/>
                <w:color w:val="FFFFFF"/>
                <w:sz w:val="17"/>
                <w:szCs w:val="17"/>
              </w:rPr>
              <w:t xml:space="preserve">Controlled value</w:t>
            </w:r>
          </w:p>
        </w:tc>
      </w:tr>
      <w:tr>
        <w:tc>
          <w:tcPr>
            <w:tcW w:type="dxa" w:w="2528"/>
            <w:shd w:fill="FFFFFF" w:color="auto" w:val="clear"/>
            <w:tcMar>
              <w:top w:type="dxa" w:w="90"/>
              <w:left w:type="dxa" w:w="120"/>
              <w:bottom w:type="dxa" w:w="90"/>
              <w:right w:type="dxa" w:w="120"/>
            </w:tcMar>
          </w:tcPr>
          <w:p>
            <w:pPr>
              <w:spacing w:after="0" w:line="264"/>
            </w:pPr>
            <w:r>
              <w:rPr>
                <w:color w:val="1A1A1A"/>
                <w:sz w:val="17"/>
                <w:szCs w:val="17"/>
              </w:rPr>
              <w:t xml:space="preserve">Tender</w:t>
            </w:r>
          </w:p>
        </w:tc>
        <w:tc>
          <w:tcPr>
            <w:tcW w:type="dxa" w:w="6500"/>
            <w:shd w:fill="FFFFFF" w:color="auto" w:val="clear"/>
            <w:tcMar>
              <w:top w:type="dxa" w:w="90"/>
              <w:left w:type="dxa" w:w="120"/>
              <w:bottom w:type="dxa" w:w="90"/>
              <w:right w:type="dxa" w:w="120"/>
            </w:tcMar>
          </w:tcPr>
          <w:p>
            <w:pPr>
              <w:spacing w:after="0" w:line="264"/>
            </w:pPr>
            <w:r>
              <w:rPr>
                <w:color w:val="1A1A1A"/>
                <w:sz w:val="17"/>
                <w:szCs w:val="17"/>
              </w:rPr>
              <w:t xml:space="preserve">TR/REP&amp;PM/ICB/2026/001/C</w:t>
            </w:r>
          </w:p>
        </w:tc>
      </w:tr>
      <w:tr>
        <w:tc>
          <w:tcPr>
            <w:tcW w:type="dxa" w:w="2528"/>
            <w:shd w:fill="F2F5F7" w:color="auto" w:val="clear"/>
            <w:tcMar>
              <w:top w:type="dxa" w:w="90"/>
              <w:left w:type="dxa" w:w="120"/>
              <w:bottom w:type="dxa" w:w="90"/>
              <w:right w:type="dxa" w:w="120"/>
            </w:tcMar>
          </w:tcPr>
          <w:p>
            <w:pPr>
              <w:spacing w:after="0" w:line="264"/>
            </w:pPr>
            <w:r>
              <w:rPr>
                <w:color w:val="1A1A1A"/>
                <w:sz w:val="17"/>
                <w:szCs w:val="17"/>
              </w:rPr>
              <w:t xml:space="preserve">Tender title</w:t>
            </w:r>
          </w:p>
        </w:tc>
        <w:tc>
          <w:tcPr>
            <w:tcW w:type="dxa" w:w="6500"/>
            <w:shd w:fill="F2F5F7" w:color="auto" w:val="clear"/>
            <w:tcMar>
              <w:top w:type="dxa" w:w="90"/>
              <w:left w:type="dxa" w:w="120"/>
              <w:bottom w:type="dxa" w:w="90"/>
              <w:right w:type="dxa" w:w="120"/>
            </w:tcMar>
          </w:tcPr>
          <w:p>
            <w:pPr>
              <w:spacing w:after="0" w:line="264"/>
            </w:pPr>
            <w:r>
              <w:rPr>
                <w:color w:val="1A1A1A"/>
                <w:sz w:val="17"/>
                <w:szCs w:val="17"/>
              </w:rPr>
              <w:t xml:space="preserve">Establishment of 250 MW / 1000 MWh Standalone Battery Energy Storage System from 10 MW / 40 MWh AC Capacity Projects on Build, Own and Operate (BOO) Basis with 15 Year Operational Period</w:t>
            </w:r>
          </w:p>
        </w:tc>
      </w:tr>
      <w:tr>
        <w:tc>
          <w:tcPr>
            <w:tcW w:type="dxa" w:w="2528"/>
            <w:shd w:fill="FFFFFF" w:color="auto" w:val="clear"/>
            <w:tcMar>
              <w:top w:type="dxa" w:w="90"/>
              <w:left w:type="dxa" w:w="120"/>
              <w:bottom w:type="dxa" w:w="90"/>
              <w:right w:type="dxa" w:w="120"/>
            </w:tcMar>
          </w:tcPr>
          <w:p>
            <w:pPr>
              <w:spacing w:after="0" w:line="264"/>
            </w:pPr>
            <w:r>
              <w:rPr>
                <w:color w:val="1A1A1A"/>
                <w:sz w:val="17"/>
                <w:szCs w:val="17"/>
              </w:rPr>
              <w:t xml:space="preserve">Document</w:t>
            </w:r>
          </w:p>
        </w:tc>
        <w:tc>
          <w:tcPr>
            <w:tcW w:type="dxa" w:w="6500"/>
            <w:shd w:fill="FFFFFF" w:color="auto" w:val="clear"/>
            <w:tcMar>
              <w:top w:type="dxa" w:w="90"/>
              <w:left w:type="dxa" w:w="120"/>
              <w:bottom w:type="dxa" w:w="90"/>
              <w:right w:type="dxa" w:w="120"/>
            </w:tcMar>
          </w:tcPr>
          <w:p>
            <w:pPr>
              <w:spacing w:after="0" w:line="264"/>
            </w:pPr>
            <w:r>
              <w:rPr>
                <w:color w:val="1A1A1A"/>
                <w:sz w:val="17"/>
                <w:szCs w:val="17"/>
              </w:rPr>
              <w:t xml:space="preserve">Technical Proposal - Volume II Section 6 response and supporting schedules</w:t>
            </w:r>
          </w:p>
        </w:tc>
      </w:tr>
      <w:tr>
        <w:tc>
          <w:tcPr>
            <w:tcW w:type="dxa" w:w="2528"/>
            <w:shd w:fill="F2F5F7" w:color="auto" w:val="clear"/>
            <w:tcMar>
              <w:top w:type="dxa" w:w="90"/>
              <w:left w:type="dxa" w:w="120"/>
              <w:bottom w:type="dxa" w:w="90"/>
              <w:right w:type="dxa" w:w="120"/>
            </w:tcMar>
          </w:tcPr>
          <w:p>
            <w:pPr>
              <w:spacing w:after="0" w:line="264"/>
            </w:pPr>
            <w:r>
              <w:rPr>
                <w:color w:val="1A1A1A"/>
                <w:sz w:val="17"/>
                <w:szCs w:val="17"/>
              </w:rPr>
              <w:t xml:space="preserve">Offered by</w:t>
            </w:r>
          </w:p>
        </w:tc>
        <w:tc>
          <w:tcPr>
            <w:tcW w:type="dxa" w:w="6500"/>
            <w:shd w:fill="F2F5F7" w:color="auto" w:val="clear"/>
            <w:tcMar>
              <w:top w:type="dxa" w:w="90"/>
              <w:left w:type="dxa" w:w="120"/>
              <w:bottom w:type="dxa" w:w="90"/>
              <w:right w:type="dxa" w:w="120"/>
            </w:tcMar>
          </w:tcPr>
          <w:p>
            <w:pPr>
              <w:spacing w:after="0" w:line="264"/>
            </w:pPr>
            <w:r>
              <w:rPr>
                <w:color w:val="1A1A1A"/>
                <w:sz w:val="17"/>
                <w:szCs w:val="17"/>
              </w:rPr>
              <w:t xml:space="preserve">Envision Energy / the supplying group entity (DRAFT - not yet adopted)</w:t>
            </w:r>
          </w:p>
        </w:tc>
      </w:tr>
      <w:tr>
        <w:tc>
          <w:tcPr>
            <w:tcW w:type="dxa" w:w="2528"/>
            <w:shd w:fill="FFFFFF" w:color="auto" w:val="clear"/>
            <w:tcMar>
              <w:top w:type="dxa" w:w="90"/>
              <w:left w:type="dxa" w:w="120"/>
              <w:bottom w:type="dxa" w:w="90"/>
              <w:right w:type="dxa" w:w="120"/>
            </w:tcMar>
          </w:tcPr>
          <w:p>
            <w:pPr>
              <w:spacing w:after="0" w:line="264"/>
            </w:pPr>
            <w:r>
              <w:rPr>
                <w:color w:val="1A1A1A"/>
                <w:sz w:val="17"/>
                <w:szCs w:val="17"/>
              </w:rPr>
              <w:t xml:space="preserve">Project Proponent</w:t>
            </w:r>
          </w:p>
        </w:tc>
        <w:tc>
          <w:tcPr>
            <w:tcW w:type="dxa" w:w="6500"/>
            <w:shd w:fill="FFFFFF" w:color="auto" w:val="clear"/>
            <w:tcMar>
              <w:top w:type="dxa" w:w="90"/>
              <w:left w:type="dxa" w:w="120"/>
              <w:bottom w:type="dxa" w:w="90"/>
              <w:right w:type="dxa" w:w="120"/>
            </w:tcMar>
          </w:tcPr>
          <w:p>
            <w:pPr>
              <w:spacing w:after="0" w:line="264"/>
            </w:pPr>
            <w:r>
              <w:rPr>
                <w:color w:val="1A1A1A"/>
                <w:sz w:val="17"/>
                <w:szCs w:val="17"/>
              </w:rPr>
              <w:t xml:space="preserve">Hayleys</w:t>
            </w:r>
          </w:p>
        </w:tc>
      </w:tr>
      <w:tr>
        <w:tc>
          <w:tcPr>
            <w:tcW w:type="dxa" w:w="2528"/>
            <w:shd w:fill="F2F5F7" w:color="auto" w:val="clear"/>
            <w:tcMar>
              <w:top w:type="dxa" w:w="90"/>
              <w:left w:type="dxa" w:w="120"/>
              <w:bottom w:type="dxa" w:w="90"/>
              <w:right w:type="dxa" w:w="120"/>
            </w:tcMar>
          </w:tcPr>
          <w:p>
            <w:pPr>
              <w:spacing w:after="0" w:line="264"/>
            </w:pPr>
            <w:r>
              <w:rPr>
                <w:color w:val="1A1A1A"/>
                <w:sz w:val="17"/>
                <w:szCs w:val="17"/>
              </w:rPr>
              <w:t xml:space="preserve">Submission deadline</w:t>
            </w:r>
          </w:p>
        </w:tc>
        <w:tc>
          <w:tcPr>
            <w:tcW w:type="dxa" w:w="6500"/>
            <w:shd w:fill="F2F5F7" w:color="auto" w:val="clear"/>
            <w:tcMar>
              <w:top w:type="dxa" w:w="90"/>
              <w:left w:type="dxa" w:w="120"/>
              <w:bottom w:type="dxa" w:w="90"/>
              <w:right w:type="dxa" w:w="120"/>
            </w:tcMar>
          </w:tcPr>
          <w:p>
            <w:pPr>
              <w:spacing w:after="0" w:line="264"/>
            </w:pPr>
            <w:r>
              <w:rPr>
                <w:color w:val="1A1A1A"/>
                <w:sz w:val="17"/>
                <w:szCs w:val="17"/>
              </w:rPr>
              <w:t xml:space="preserve">4 September 2026, 10.00 hrs (Addendum No. 01 item 01)</w:t>
            </w:r>
          </w:p>
        </w:tc>
      </w:tr>
      <w:tr>
        <w:tc>
          <w:tcPr>
            <w:tcW w:type="dxa" w:w="2528"/>
            <w:shd w:fill="FFFFFF" w:color="auto" w:val="clear"/>
            <w:tcMar>
              <w:top w:type="dxa" w:w="90"/>
              <w:left w:type="dxa" w:w="120"/>
              <w:bottom w:type="dxa" w:w="90"/>
              <w:right w:type="dxa" w:w="120"/>
            </w:tcMar>
          </w:tcPr>
          <w:p>
            <w:pPr>
              <w:spacing w:after="0" w:line="264"/>
            </w:pPr>
            <w:r>
              <w:rPr>
                <w:color w:val="1A1A1A"/>
                <w:sz w:val="17"/>
                <w:szCs w:val="17"/>
              </w:rPr>
              <w:t xml:space="preserve">Clarification window</w:t>
            </w:r>
          </w:p>
        </w:tc>
        <w:tc>
          <w:tcPr>
            <w:tcW w:type="dxa" w:w="6500"/>
            <w:shd w:fill="FFFFFF" w:color="auto" w:val="clear"/>
            <w:tcMar>
              <w:top w:type="dxa" w:w="90"/>
              <w:left w:type="dxa" w:w="120"/>
              <w:bottom w:type="dxa" w:w="90"/>
              <w:right w:type="dxa" w:w="120"/>
            </w:tcMar>
          </w:tcPr>
          <w:p>
            <w:pPr>
              <w:spacing w:after="0" w:line="264"/>
            </w:pPr>
            <w:r>
              <w:rPr>
                <w:color w:val="1A1A1A"/>
                <w:sz w:val="17"/>
                <w:szCs w:val="17"/>
              </w:rPr>
              <w:t xml:space="preserve">CLOSED 25 August 2026 - no further questions to NSO are possible</w:t>
            </w:r>
          </w:p>
        </w:tc>
      </w:tr>
      <w:tr>
        <w:tc>
          <w:tcPr>
            <w:tcW w:type="dxa" w:w="2528"/>
            <w:shd w:fill="F2F5F7" w:color="auto" w:val="clear"/>
            <w:tcMar>
              <w:top w:type="dxa" w:w="90"/>
              <w:left w:type="dxa" w:w="120"/>
              <w:bottom w:type="dxa" w:w="90"/>
              <w:right w:type="dxa" w:w="120"/>
            </w:tcMar>
          </w:tcPr>
          <w:p>
            <w:pPr>
              <w:spacing w:after="0" w:line="264"/>
            </w:pPr>
            <w:r>
              <w:rPr>
                <w:color w:val="1A1A1A"/>
                <w:sz w:val="17"/>
                <w:szCs w:val="17"/>
              </w:rPr>
              <w:t xml:space="preserve">Declared Capacity offered</w:t>
            </w:r>
          </w:p>
        </w:tc>
        <w:tc>
          <w:tcPr>
            <w:tcW w:type="dxa" w:w="6500"/>
            <w:shd w:fill="F2F5F7" w:color="auto" w:val="clear"/>
            <w:tcMar>
              <w:top w:type="dxa" w:w="90"/>
              <w:left w:type="dxa" w:w="120"/>
              <w:bottom w:type="dxa" w:w="90"/>
              <w:right w:type="dxa" w:w="120"/>
            </w:tcMar>
          </w:tcPr>
          <w:p>
            <w:pPr>
              <w:spacing w:after="0" w:line="264"/>
            </w:pPr>
            <w:r>
              <w:rPr>
                <w:color w:val="1A1A1A"/>
                <w:sz w:val="17"/>
                <w:szCs w:val="17"/>
              </w:rPr>
              <w:t xml:space="preserve">10 MW / 40 MWh, export-limited (see section 2)</w:t>
            </w:r>
          </w:p>
        </w:tc>
      </w:tr>
      <w:tr>
        <w:tc>
          <w:tcPr>
            <w:tcW w:type="dxa" w:w="2528"/>
            <w:shd w:fill="FFFFFF" w:color="auto" w:val="clear"/>
            <w:tcMar>
              <w:top w:type="dxa" w:w="90"/>
              <w:left w:type="dxa" w:w="120"/>
              <w:bottom w:type="dxa" w:w="90"/>
              <w:right w:type="dxa" w:w="120"/>
            </w:tcMar>
          </w:tcPr>
          <w:p>
            <w:pPr>
              <w:spacing w:after="0" w:line="264"/>
            </w:pPr>
            <w:r>
              <w:rPr>
                <w:color w:val="1A1A1A"/>
                <w:sz w:val="17"/>
                <w:szCs w:val="17"/>
              </w:rPr>
              <w:t xml:space="preserve">Installed configuration</w:t>
            </w:r>
          </w:p>
        </w:tc>
        <w:tc>
          <w:tcPr>
            <w:tcW w:type="dxa" w:w="6500"/>
            <w:shd w:fill="FFFFFF" w:color="auto" w:val="clear"/>
            <w:tcMar>
              <w:top w:type="dxa" w:w="90"/>
              <w:left w:type="dxa" w:w="120"/>
              <w:bottom w:type="dxa" w:w="90"/>
              <w:right w:type="dxa" w:w="120"/>
            </w:tcMar>
          </w:tcPr>
          <w:p>
            <w:pPr>
              <w:spacing w:after="0" w:line="264"/>
            </w:pPr>
            <w:r>
              <w:rPr>
                <w:color w:val="1A1A1A"/>
                <w:sz w:val="17"/>
                <w:szCs w:val="17"/>
              </w:rPr>
              <w:t xml:space="preserve">11 MW / 44 MWh hardware - intentional oversizing</w:t>
            </w:r>
          </w:p>
        </w:tc>
      </w:tr>
      <w:tr>
        <w:tc>
          <w:tcPr>
            <w:tcW w:type="dxa" w:w="2528"/>
            <w:shd w:fill="F2F5F7" w:color="auto" w:val="clear"/>
            <w:tcMar>
              <w:top w:type="dxa" w:w="90"/>
              <w:left w:type="dxa" w:w="120"/>
              <w:bottom w:type="dxa" w:w="90"/>
              <w:right w:type="dxa" w:w="120"/>
            </w:tcMar>
          </w:tcPr>
          <w:p>
            <w:pPr>
              <w:spacing w:after="0" w:line="264"/>
            </w:pPr>
            <w:r>
              <w:rPr>
                <w:color w:val="1A1A1A"/>
                <w:sz w:val="17"/>
                <w:szCs w:val="17"/>
              </w:rPr>
              <w:t xml:space="preserve">Evidence base</w:t>
            </w:r>
          </w:p>
        </w:tc>
        <w:tc>
          <w:tcPr>
            <w:tcW w:type="dxa" w:w="6500"/>
            <w:shd w:fill="F2F5F7" w:color="auto" w:val="clear"/>
            <w:tcMar>
              <w:top w:type="dxa" w:w="90"/>
              <w:left w:type="dxa" w:w="120"/>
              <w:bottom w:type="dxa" w:w="90"/>
              <w:right w:type="dxa" w:w="120"/>
            </w:tcMar>
          </w:tcPr>
          <w:p>
            <w:pPr>
              <w:spacing w:after="0" w:line="264"/>
            </w:pPr>
            <w:r>
              <w:rPr>
                <w:color w:val="1A1A1A"/>
                <w:sz w:val="17"/>
                <w:szCs w:val="17"/>
              </w:rPr>
              <w:t xml:space="preserve">Updated 27 August 2026 after ingress of the OEM supply tranche (50 unique files), including the ENPCS2520 Technical Specification, the PSS(R)E and PSCAD model packages and the delivered dynamic record — none of which was held when this draft was first prepared</w:t>
            </w:r>
          </w:p>
        </w:tc>
      </w:tr>
      <w:tr>
        <w:tc>
          <w:tcPr>
            <w:tcW w:type="dxa" w:w="2528"/>
            <w:shd w:fill="FFFFFF" w:color="auto" w:val="clear"/>
            <w:tcMar>
              <w:top w:type="dxa" w:w="90"/>
              <w:left w:type="dxa" w:w="120"/>
              <w:bottom w:type="dxa" w:w="90"/>
              <w:right w:type="dxa" w:w="120"/>
            </w:tcMar>
          </w:tcPr>
          <w:p>
            <w:pPr>
              <w:spacing w:after="0" w:line="264"/>
            </w:pPr>
            <w:r>
              <w:rPr>
                <w:color w:val="1A1A1A"/>
                <w:sz w:val="17"/>
                <w:szCs w:val="17"/>
              </w:rPr>
              <w:t xml:space="preserve">Status</w:t>
            </w:r>
          </w:p>
        </w:tc>
        <w:tc>
          <w:tcPr>
            <w:tcW w:type="dxa" w:w="6500"/>
            <w:shd w:fill="FFFFFF" w:color="auto" w:val="clear"/>
            <w:tcMar>
              <w:top w:type="dxa" w:w="90"/>
              <w:left w:type="dxa" w:w="120"/>
              <w:bottom w:type="dxa" w:w="90"/>
              <w:right w:type="dxa" w:w="120"/>
            </w:tcMar>
          </w:tcPr>
          <w:p>
            <w:pPr>
              <w:spacing w:after="0" w:line="264"/>
            </w:pPr>
            <w:r>
              <w:rPr>
                <w:color w:val="1A1A1A"/>
                <w:sz w:val="17"/>
                <w:szCs w:val="17"/>
              </w:rPr>
              <w:t xml:space="preserve">DRAFT FOR ENVISION COMPLETION - not an Envision document</w:t>
            </w:r>
          </w:p>
        </w:tc>
      </w:tr>
      <w:tr>
        <w:tc>
          <w:tcPr>
            <w:tcW w:type="dxa" w:w="2528"/>
            <w:shd w:fill="F2F5F7" w:color="auto" w:val="clear"/>
            <w:tcMar>
              <w:top w:type="dxa" w:w="90"/>
              <w:left w:type="dxa" w:w="120"/>
              <w:bottom w:type="dxa" w:w="90"/>
              <w:right w:type="dxa" w:w="120"/>
            </w:tcMar>
          </w:tcPr>
          <w:p>
            <w:pPr>
              <w:spacing w:after="0" w:line="264"/>
            </w:pPr>
            <w:r>
              <w:rPr>
                <w:color w:val="1A1A1A"/>
                <w:sz w:val="17"/>
                <w:szCs w:val="17"/>
              </w:rPr>
              <w:t xml:space="preserve">Completion required</w:t>
            </w:r>
          </w:p>
        </w:tc>
        <w:tc>
          <w:tcPr>
            <w:tcW w:type="dxa" w:w="6500"/>
            <w:shd w:fill="F2F5F7" w:color="auto" w:val="clear"/>
            <w:tcMar>
              <w:top w:type="dxa" w:w="90"/>
              <w:left w:type="dxa" w:w="120"/>
              <w:bottom w:type="dxa" w:w="90"/>
              <w:right w:type="dxa" w:w="120"/>
            </w:tcMar>
          </w:tcPr>
          <w:p>
            <w:pPr>
              <w:spacing w:after="0" w:line="264"/>
            </w:pPr>
            <w:r>
              <w:rPr>
                <w:color w:val="C00000"/>
                <w:sz w:val="17"/>
                <w:szCs w:val="17"/>
              </w:rPr>
              <w:t xml:space="preserve">Every red entry requires Envision confirmation before submission</w:t>
            </w:r>
          </w:p>
        </w:tc>
      </w:tr>
    </w:tbl>
    <w:p>
      <w:pPr>
        <w:pStyle w:val="Heading1"/>
        <w:spacing w:after="140" w:before="320"/>
      </w:pPr>
      <w:r>
        <w:rPr>
          <w:b/>
          <w:bCs/>
          <w:color w:val="123B5D"/>
          <w:sz w:val="26"/>
          <w:szCs w:val="26"/>
        </w:rPr>
        <w:t xml:space="preserve">1. Offer summary and the single design decision behind it</w:t>
      </w:r>
    </w:p>
    <w:tbl>
      <w:tblPr>
        <w:tblW w:type="dxa" w:w="9028"/>
        <w:tblBorders>
          <w:top w:val="none" w:color="auto" w:sz="0"/>
          <w:left w:val="single" w:color="123B5D" w:sz="18"/>
          <w:bottom w:val="none" w:color="auto" w:sz="0"/>
          <w:right w:val="none" w:color="auto" w:sz="0"/>
          <w:insideH w:val="none" w:color="auto" w:sz="0"/>
          <w:insideV w:val="none" w:color="auto" w:sz="0"/>
        </w:tblBorders>
      </w:tblPr>
      <w:tblGrid>
        <w:gridCol w:w="9028"/>
      </w:tblGrid>
      <w:tr>
        <w:tc>
          <w:tcPr>
            <w:tcW w:type="dxa" w:w="9028"/>
            <w:shd w:fill="F2F5F7" w:color="auto" w:val="clear"/>
            <w:tcMar>
              <w:top w:type="dxa" w:w="140"/>
              <w:left w:type="dxa" w:w="180"/>
              <w:bottom w:type="dxa" w:w="140"/>
              <w:right w:type="dxa" w:w="180"/>
            </w:tcMar>
          </w:tcPr>
          <w:p>
            <w:pPr>
              <w:spacing w:after="0" w:line="264"/>
            </w:pPr>
            <w:r>
              <w:rPr>
                <w:b/>
                <w:bCs/>
                <w:color w:val="1A1A1A"/>
                <w:sz w:val="18"/>
                <w:szCs w:val="18"/>
              </w:rPr>
              <w:t xml:space="preserve">BLACK = sourced from a received document | RED = drafted gap-fill, unverified, for Envision to confirm or replace</w:t>
            </w:r>
          </w:p>
        </w:tc>
      </w:tr>
    </w:tbl>
    <w:p>
      <w:pPr>
        <w:spacing w:after="120" w:line="276"/>
      </w:pPr>
      <w:r>
        <w:t xml:space="preserve"/>
      </w:r>
    </w:p>
    <w:p>
      <w:pPr>
        <w:spacing w:after="120" w:line="276"/>
      </w:pPr>
      <w:r>
        <w:rPr>
          <w:color w:val="1A1A1A"/>
          <w:sz w:val="19"/>
          <w:szCs w:val="19"/>
        </w:rPr>
        <w:t xml:space="preserve">Envision offers the 11 MW / 44 MWh equipment configuration, declared to NSO as a 10 MW / 40 MWh Contracted Capacity and held to 10 MW by a tested export limiter. This is deliberate oversizing, and it is the single decision that resolves most of the tender's binding constraints at once.</w:t>
      </w:r>
    </w:p>
    <w:tbl>
      <w:tblPr>
        <w:tblW w:type="dxa" w:w="9028"/>
        <w:tblBorders>
          <w:top w:val="single" w:color="C9D2DA" w:sz="6"/>
          <w:left w:val="none" w:color="auto" w:sz="0"/>
          <w:bottom w:val="single" w:color="C9D2DA" w:sz="6"/>
          <w:right w:val="none" w:color="auto" w:sz="0"/>
          <w:insideH w:val="single" w:color="C9D2DA" w:sz="4"/>
          <w:insideV w:val="none" w:color="auto" w:sz="0"/>
        </w:tblBorders>
      </w:tblPr>
      <w:tblGrid>
        <w:gridCol w:w="1806"/>
        <w:gridCol w:w="2889"/>
        <w:gridCol w:w="4333"/>
      </w:tblGrid>
      <w:tr>
        <w:trPr>
          <w:tblHeader/>
        </w:trPr>
        <w:tc>
          <w:tcPr>
            <w:tcW w:type="dxa" w:w="1806"/>
            <w:shd w:fill="123B5D" w:color="auto" w:val="clear"/>
            <w:tcMar>
              <w:top w:type="dxa" w:w="90"/>
              <w:left w:type="dxa" w:w="120"/>
              <w:bottom w:type="dxa" w:w="90"/>
              <w:right w:type="dxa" w:w="120"/>
            </w:tcMar>
          </w:tcPr>
          <w:p>
            <w:pPr>
              <w:spacing w:after="0"/>
            </w:pPr>
            <w:r>
              <w:rPr>
                <w:b/>
                <w:bCs/>
                <w:color w:val="FFFFFF"/>
                <w:sz w:val="17"/>
                <w:szCs w:val="17"/>
              </w:rPr>
              <w:t xml:space="preserve">Tender constraint</w:t>
            </w:r>
          </w:p>
        </w:tc>
        <w:tc>
          <w:tcPr>
            <w:tcW w:type="dxa" w:w="2889"/>
            <w:shd w:fill="123B5D" w:color="auto" w:val="clear"/>
            <w:tcMar>
              <w:top w:type="dxa" w:w="90"/>
              <w:left w:type="dxa" w:w="120"/>
              <w:bottom w:type="dxa" w:w="90"/>
              <w:right w:type="dxa" w:w="120"/>
            </w:tcMar>
          </w:tcPr>
          <w:p>
            <w:pPr>
              <w:spacing w:after="0"/>
            </w:pPr>
            <w:r>
              <w:rPr>
                <w:b/>
                <w:bCs/>
                <w:color w:val="FFFFFF"/>
                <w:sz w:val="17"/>
                <w:szCs w:val="17"/>
              </w:rPr>
              <w:t xml:space="preserve">10 MW / 40 MWh build</w:t>
            </w:r>
          </w:p>
        </w:tc>
        <w:tc>
          <w:tcPr>
            <w:tcW w:type="dxa" w:w="4333"/>
            <w:shd w:fill="123B5D" w:color="auto" w:val="clear"/>
            <w:tcMar>
              <w:top w:type="dxa" w:w="90"/>
              <w:left w:type="dxa" w:w="120"/>
              <w:bottom w:type="dxa" w:w="90"/>
              <w:right w:type="dxa" w:w="120"/>
            </w:tcMar>
          </w:tcPr>
          <w:p>
            <w:pPr>
              <w:spacing w:after="0"/>
            </w:pPr>
            <w:r>
              <w:rPr>
                <w:b/>
                <w:bCs/>
                <w:color w:val="FFFFFF"/>
                <w:sz w:val="17"/>
                <w:szCs w:val="17"/>
              </w:rPr>
              <w:t xml:space="preserve">11 MW / 44 MWh build, declared at 10 MW</w:t>
            </w:r>
          </w:p>
        </w:tc>
      </w:tr>
      <w:tr>
        <w:tc>
          <w:tcPr>
            <w:tcW w:type="dxa" w:w="1806"/>
            <w:shd w:fill="FBEFEF" w:color="auto" w:val="clear"/>
            <w:tcMar>
              <w:top w:type="dxa" w:w="90"/>
              <w:left w:type="dxa" w:w="120"/>
              <w:bottom w:type="dxa" w:w="90"/>
              <w:right w:type="dxa" w:w="120"/>
            </w:tcMar>
          </w:tcPr>
          <w:p>
            <w:pPr>
              <w:spacing w:after="0" w:line="264"/>
            </w:pPr>
            <w:r>
              <w:rPr>
                <w:color w:val="1A1A1A"/>
                <w:sz w:val="17"/>
                <w:szCs w:val="17"/>
              </w:rPr>
              <w:t xml:space="preserve">Usable energy at BoL against 40 MWh required</w:t>
            </w:r>
          </w:p>
        </w:tc>
        <w:tc>
          <w:tcPr>
            <w:tcW w:type="dxa" w:w="2889"/>
            <w:shd w:fill="FBEFEF" w:color="auto" w:val="clear"/>
            <w:tcMar>
              <w:top w:type="dxa" w:w="90"/>
              <w:left w:type="dxa" w:w="120"/>
              <w:bottom w:type="dxa" w:w="90"/>
              <w:right w:type="dxa" w:w="120"/>
            </w:tcMar>
          </w:tcPr>
          <w:p>
            <w:pPr>
              <w:spacing w:after="0" w:line="264"/>
            </w:pPr>
            <w:r>
              <w:rPr>
                <w:color w:val="1A1A1A"/>
                <w:sz w:val="17"/>
                <w:szCs w:val="17"/>
              </w:rPr>
              <w:t xml:space="preserve">40.2 MWh - 0.5 % margin, smaller than the design calculation's own stated 1-2 % variability</w:t>
            </w:r>
          </w:p>
        </w:tc>
        <w:tc>
          <w:tcPr>
            <w:tcW w:type="dxa" w:w="4333"/>
            <w:shd w:fill="FBEFEF" w:color="auto" w:val="clear"/>
            <w:tcMar>
              <w:top w:type="dxa" w:w="90"/>
              <w:left w:type="dxa" w:w="120"/>
              <w:bottom w:type="dxa" w:w="90"/>
              <w:right w:type="dxa" w:w="120"/>
            </w:tcMar>
          </w:tcPr>
          <w:p>
            <w:pPr>
              <w:spacing w:after="0" w:line="264"/>
            </w:pPr>
            <w:r>
              <w:rPr>
                <w:color w:val="1A1A1A"/>
                <w:sz w:val="17"/>
                <w:szCs w:val="17"/>
              </w:rPr>
              <w:t xml:space="preserve">43.9 MWh - approx. 9.75 % margin</w:t>
            </w:r>
          </w:p>
        </w:tc>
      </w:tr>
      <w:tr>
        <w:tc>
          <w:tcPr>
            <w:tcW w:type="dxa" w:w="1806"/>
            <w:shd w:fill="FBEFEF" w:color="auto" w:val="clear"/>
            <w:tcMar>
              <w:top w:type="dxa" w:w="90"/>
              <w:left w:type="dxa" w:w="120"/>
              <w:bottom w:type="dxa" w:w="90"/>
              <w:right w:type="dxa" w:w="120"/>
            </w:tcMar>
          </w:tcPr>
          <w:p>
            <w:pPr>
              <w:spacing w:after="0" w:line="264"/>
            </w:pPr>
            <w:r>
              <w:rPr>
                <w:color w:val="1A1A1A"/>
                <w:sz w:val="17"/>
                <w:szCs w:val="17"/>
              </w:rPr>
              <w:t xml:space="preserve">Round-trip efficiency, year 15, auxiliary-inclusive (Volume I §2.8(iii), floor 85 %)</w:t>
            </w:r>
          </w:p>
        </w:tc>
        <w:tc>
          <w:tcPr>
            <w:tcW w:type="dxa" w:w="2889"/>
            <w:shd w:fill="FBEFEF" w:color="auto" w:val="clear"/>
            <w:tcMar>
              <w:top w:type="dxa" w:w="90"/>
              <w:left w:type="dxa" w:w="120"/>
              <w:bottom w:type="dxa" w:w="90"/>
              <w:right w:type="dxa" w:w="120"/>
            </w:tcMar>
          </w:tcPr>
          <w:p>
            <w:pPr>
              <w:spacing w:after="0" w:line="264"/>
            </w:pPr>
            <w:r>
              <w:rPr>
                <w:color w:val="1A1A1A"/>
                <w:sz w:val="17"/>
                <w:szCs w:val="17"/>
              </w:rPr>
              <w:t xml:space="preserve">85.0 % - exactly on the floor, no margin</w:t>
            </w:r>
          </w:p>
        </w:tc>
        <w:tc>
          <w:tcPr>
            <w:tcW w:type="dxa" w:w="4333"/>
            <w:shd w:fill="FBEFEF" w:color="auto" w:val="clear"/>
            <w:tcMar>
              <w:top w:type="dxa" w:w="90"/>
              <w:left w:type="dxa" w:w="120"/>
              <w:bottom w:type="dxa" w:w="90"/>
              <w:right w:type="dxa" w:w="120"/>
            </w:tcMar>
          </w:tcPr>
          <w:p>
            <w:pPr>
              <w:spacing w:after="0" w:line="264"/>
            </w:pPr>
            <w:r>
              <w:rPr>
                <w:color w:val="1A1A1A"/>
                <w:sz w:val="17"/>
                <w:szCs w:val="17"/>
              </w:rPr>
              <w:t xml:space="preserve">85.0 % declared; </w:t>
            </w:r>
            <w:r>
              <w:rPr>
                <w:color w:val="C00000"/>
                <w:sz w:val="17"/>
                <w:szCs w:val="17"/>
              </w:rPr>
              <w:t xml:space="preserve">re-rated at the lower relative loading of the oversized build, target 85.6 % - Envision to confirm</w:t>
            </w:r>
          </w:p>
        </w:tc>
      </w:tr>
      <w:tr>
        <w:tc>
          <w:tcPr>
            <w:tcW w:type="dxa" w:w="1806"/>
            <w:shd w:fill="FFFFFF" w:color="auto" w:val="clear"/>
            <w:tcMar>
              <w:top w:type="dxa" w:w="90"/>
              <w:left w:type="dxa" w:w="120"/>
              <w:bottom w:type="dxa" w:w="90"/>
              <w:right w:type="dxa" w:w="120"/>
            </w:tcMar>
          </w:tcPr>
          <w:p>
            <w:pPr>
              <w:spacing w:after="0" w:line="264"/>
            </w:pPr>
            <w:r>
              <w:rPr>
                <w:color w:val="1A1A1A"/>
                <w:sz w:val="17"/>
                <w:szCs w:val="17"/>
              </w:rPr>
              <w:t xml:space="preserve">Reactive capability (clarification 24: +/-0.3 x rated active power)</w:t>
            </w:r>
          </w:p>
        </w:tc>
        <w:tc>
          <w:tcPr>
            <w:tcW w:type="dxa" w:w="2889"/>
            <w:shd w:fill="FFFFFF" w:color="auto" w:val="clear"/>
            <w:tcMar>
              <w:top w:type="dxa" w:w="90"/>
              <w:left w:type="dxa" w:w="120"/>
              <w:bottom w:type="dxa" w:w="90"/>
              <w:right w:type="dxa" w:w="120"/>
            </w:tcMar>
          </w:tcPr>
          <w:p>
            <w:pPr>
              <w:spacing w:after="0" w:line="264"/>
            </w:pPr>
            <w:r>
              <w:rPr>
                <w:color w:val="1A1A1A"/>
                <w:sz w:val="17"/>
                <w:szCs w:val="17"/>
              </w:rPr>
              <w:t xml:space="preserve">+/-3.29 Mvar against +/-3.0 Mvar required - passes</w:t>
            </w:r>
          </w:p>
        </w:tc>
        <w:tc>
          <w:tcPr>
            <w:tcW w:type="dxa" w:w="4333"/>
            <w:shd w:fill="FFFFFF" w:color="auto" w:val="clear"/>
            <w:tcMar>
              <w:top w:type="dxa" w:w="90"/>
              <w:left w:type="dxa" w:w="120"/>
              <w:bottom w:type="dxa" w:w="90"/>
              <w:right w:type="dxa" w:w="120"/>
            </w:tcMar>
          </w:tcPr>
          <w:p>
            <w:pPr>
              <w:spacing w:after="0" w:line="264"/>
            </w:pPr>
            <w:r>
              <w:rPr>
                <w:color w:val="1A1A1A"/>
                <w:sz w:val="17"/>
                <w:szCs w:val="17"/>
              </w:rPr>
              <w:t xml:space="preserve">+/-3.29 Mvar against +/-3.0 Mvar required at a declared 10 MW - passes with margin</w:t>
            </w:r>
          </w:p>
        </w:tc>
      </w:tr>
      <w:tr>
        <w:tc>
          <w:tcPr>
            <w:tcW w:type="dxa" w:w="1806"/>
            <w:shd w:fill="F2F5F7" w:color="auto" w:val="clear"/>
            <w:tcMar>
              <w:top w:type="dxa" w:w="90"/>
              <w:left w:type="dxa" w:w="120"/>
              <w:bottom w:type="dxa" w:w="90"/>
              <w:right w:type="dxa" w:w="120"/>
            </w:tcMar>
          </w:tcPr>
          <w:p>
            <w:pPr>
              <w:spacing w:after="0" w:line="264"/>
            </w:pPr>
            <w:r>
              <w:rPr>
                <w:color w:val="1A1A1A"/>
                <w:sz w:val="17"/>
                <w:szCs w:val="17"/>
              </w:rPr>
              <w:t xml:space="preserve">Four hours at rated output at site ambient (Volume I §3.1(k), envelope to +45 C)</w:t>
            </w:r>
          </w:p>
        </w:tc>
        <w:tc>
          <w:tcPr>
            <w:tcW w:type="dxa" w:w="2889"/>
            <w:shd w:fill="F2F5F7" w:color="auto" w:val="clear"/>
            <w:tcMar>
              <w:top w:type="dxa" w:w="90"/>
              <w:left w:type="dxa" w:w="120"/>
              <w:bottom w:type="dxa" w:w="90"/>
              <w:right w:type="dxa" w:w="120"/>
            </w:tcMar>
          </w:tcPr>
          <w:p>
            <w:pPr>
              <w:spacing w:after="0" w:line="264"/>
            </w:pPr>
            <w:r>
              <w:rPr>
                <w:color w:val="1A1A1A"/>
                <w:sz w:val="17"/>
                <w:szCs w:val="17"/>
              </w:rPr>
              <w:t xml:space="preserve">Marginal - the 4.02 h figure is computed at 35 C</w:t>
            </w:r>
          </w:p>
        </w:tc>
        <w:tc>
          <w:tcPr>
            <w:tcW w:type="dxa" w:w="4333"/>
            <w:shd w:fill="F2F5F7" w:color="auto" w:val="clear"/>
            <w:tcMar>
              <w:top w:type="dxa" w:w="90"/>
              <w:left w:type="dxa" w:w="120"/>
              <w:bottom w:type="dxa" w:w="90"/>
              <w:right w:type="dxa" w:w="120"/>
            </w:tcMar>
          </w:tcPr>
          <w:p>
            <w:pPr>
              <w:spacing w:after="0" w:line="264"/>
            </w:pPr>
            <w:r>
              <w:rPr>
                <w:color w:val="C00000"/>
                <w:sz w:val="17"/>
                <w:szCs w:val="17"/>
              </w:rPr>
              <w:t xml:space="preserve">Held at +45 C on the oversized energy base - Envision to confirm by thermal calculation, see section 5</w:t>
            </w:r>
          </w:p>
        </w:tc>
      </w:tr>
      <w:tr>
        <w:tc>
          <w:tcPr>
            <w:tcW w:type="dxa" w:w="1806"/>
            <w:shd w:fill="FFFFFF" w:color="auto" w:val="clear"/>
            <w:tcMar>
              <w:top w:type="dxa" w:w="90"/>
              <w:left w:type="dxa" w:w="120"/>
              <w:bottom w:type="dxa" w:w="90"/>
              <w:right w:type="dxa" w:w="120"/>
            </w:tcMar>
          </w:tcPr>
          <w:p>
            <w:pPr>
              <w:spacing w:after="0" w:line="264"/>
            </w:pPr>
            <w:r>
              <w:rPr>
                <w:color w:val="1A1A1A"/>
                <w:sz w:val="17"/>
                <w:szCs w:val="17"/>
              </w:rPr>
              <w:t xml:space="preserve">Minimum Dispatchable Storage Capacity, year 15 (68 % of contracted)</w:t>
            </w:r>
          </w:p>
        </w:tc>
        <w:tc>
          <w:tcPr>
            <w:tcW w:type="dxa" w:w="2889"/>
            <w:shd w:fill="FFFFFF" w:color="auto" w:val="clear"/>
            <w:tcMar>
              <w:top w:type="dxa" w:w="90"/>
              <w:left w:type="dxa" w:w="120"/>
              <w:bottom w:type="dxa" w:w="90"/>
              <w:right w:type="dxa" w:w="120"/>
            </w:tcMar>
          </w:tcPr>
          <w:p>
            <w:pPr>
              <w:spacing w:after="0" w:line="264"/>
            </w:pPr>
            <w:r>
              <w:rPr>
                <w:color w:val="1A1A1A"/>
                <w:sz w:val="17"/>
                <w:szCs w:val="17"/>
              </w:rPr>
              <w:t xml:space="preserve">30.8 MWh against 27.2 MWh required</w:t>
            </w:r>
          </w:p>
        </w:tc>
        <w:tc>
          <w:tcPr>
            <w:tcW w:type="dxa" w:w="4333"/>
            <w:shd w:fill="FFFFFF" w:color="auto" w:val="clear"/>
            <w:tcMar>
              <w:top w:type="dxa" w:w="90"/>
              <w:left w:type="dxa" w:w="120"/>
              <w:bottom w:type="dxa" w:w="90"/>
              <w:right w:type="dxa" w:w="120"/>
            </w:tcMar>
          </w:tcPr>
          <w:p>
            <w:pPr>
              <w:spacing w:after="0" w:line="264"/>
            </w:pPr>
            <w:r>
              <w:rPr>
                <w:color w:val="C00000"/>
                <w:sz w:val="17"/>
                <w:szCs w:val="17"/>
              </w:rPr>
              <w:t xml:space="preserve">Approx. 33.6 MWh against 27.2 MWh required - Envision to confirm the degradation curve on the 44 MWh base</w:t>
            </w:r>
          </w:p>
        </w:tc>
      </w:tr>
      <w:tr>
        <w:tc>
          <w:tcPr>
            <w:tcW w:type="dxa" w:w="1806"/>
            <w:shd w:fill="F2F5F7" w:color="auto" w:val="clear"/>
            <w:tcMar>
              <w:top w:type="dxa" w:w="90"/>
              <w:left w:type="dxa" w:w="120"/>
              <w:bottom w:type="dxa" w:w="90"/>
              <w:right w:type="dxa" w:w="120"/>
            </w:tcMar>
          </w:tcPr>
          <w:p>
            <w:pPr>
              <w:spacing w:after="0" w:line="264"/>
            </w:pPr>
            <w:r>
              <w:rPr>
                <w:color w:val="1A1A1A"/>
                <w:sz w:val="17"/>
                <w:szCs w:val="17"/>
              </w:rPr>
              <w:t xml:space="preserve">400 full equivalent cycles per year, incl. ancillary-service energy (clarification 55(b))</w:t>
            </w:r>
          </w:p>
        </w:tc>
        <w:tc>
          <w:tcPr>
            <w:tcW w:type="dxa" w:w="2889"/>
            <w:shd w:fill="F2F5F7" w:color="auto" w:val="clear"/>
            <w:tcMar>
              <w:top w:type="dxa" w:w="90"/>
              <w:left w:type="dxa" w:w="120"/>
              <w:bottom w:type="dxa" w:w="90"/>
              <w:right w:type="dxa" w:w="120"/>
            </w:tcMar>
          </w:tcPr>
          <w:p>
            <w:pPr>
              <w:spacing w:after="0" w:line="264"/>
            </w:pPr>
            <w:r>
              <w:rPr>
                <w:color w:val="1A1A1A"/>
                <w:sz w:val="17"/>
                <w:szCs w:val="17"/>
              </w:rPr>
              <w:t xml:space="preserve">Duty falls on a thinner energy base, so cell throughput per contracted MWh is higher</w:t>
            </w:r>
          </w:p>
        </w:tc>
        <w:tc>
          <w:tcPr>
            <w:tcW w:type="dxa" w:w="4333"/>
            <w:shd w:fill="F2F5F7" w:color="auto" w:val="clear"/>
            <w:tcMar>
              <w:top w:type="dxa" w:w="90"/>
              <w:left w:type="dxa" w:w="120"/>
              <w:bottom w:type="dxa" w:w="90"/>
              <w:right w:type="dxa" w:w="120"/>
            </w:tcMar>
          </w:tcPr>
          <w:p>
            <w:pPr>
              <w:spacing w:after="0" w:line="264"/>
            </w:pPr>
            <w:r>
              <w:rPr>
                <w:color w:val="C00000"/>
                <w:sz w:val="17"/>
                <w:szCs w:val="17"/>
              </w:rPr>
              <w:t xml:space="preserve">Lower depth of discharge for the same delivered energy, extending cycle life - the principal answer to the 45 C exposure at section 5</w:t>
            </w:r>
          </w:p>
        </w:tc>
      </w:tr>
    </w:tbl>
    <w:p>
      <w:pPr>
        <w:spacing w:after="120" w:line="276"/>
      </w:pPr>
      <w:r>
        <w:rPr>
          <w:i/>
          <w:iCs/>
          <w:color w:val="5A6472"/>
          <w:sz w:val="16"/>
          <w:szCs w:val="16"/>
        </w:rPr>
        <w:t xml:space="preserve">Source: Envision design calculations of 29 July 2026 (10 MW / 40 MWh, superseded 5 August) and 5 August 2026 (11 MW / 44 MWh); NSO RFP Volume I; Annex A; clarification register items 24 and 55.</w:t>
      </w:r>
    </w:p>
    <w:p>
      <w:pPr>
        <w:pStyle w:val="Heading1"/>
        <w:spacing w:after="140" w:before="320"/>
      </w:pPr>
      <w:r>
        <w:rPr>
          <w:b/>
          <w:bCs/>
          <w:color w:val="123B5D"/>
          <w:sz w:val="26"/>
          <w:szCs w:val="26"/>
        </w:rPr>
        <w:t xml:space="preserve">2. Declared Capacity, export limiting and the second technical proposal</w:t>
      </w:r>
    </w:p>
    <w:tbl>
      <w:tblPr>
        <w:tblW w:type="dxa" w:w="9028"/>
        <w:tblBorders>
          <w:top w:val="none" w:color="auto" w:sz="0"/>
          <w:left w:val="single" w:color="123B5D" w:sz="18"/>
          <w:bottom w:val="none" w:color="auto" w:sz="0"/>
          <w:right w:val="none" w:color="auto" w:sz="0"/>
          <w:insideH w:val="none" w:color="auto" w:sz="0"/>
          <w:insideV w:val="none" w:color="auto" w:sz="0"/>
        </w:tblBorders>
      </w:tblPr>
      <w:tblGrid>
        <w:gridCol w:w="9028"/>
      </w:tblGrid>
      <w:tr>
        <w:tc>
          <w:tcPr>
            <w:tcW w:type="dxa" w:w="9028"/>
            <w:shd w:fill="F2F5F7" w:color="auto" w:val="clear"/>
            <w:tcMar>
              <w:top w:type="dxa" w:w="140"/>
              <w:left w:type="dxa" w:w="180"/>
              <w:bottom w:type="dxa" w:w="140"/>
              <w:right w:type="dxa" w:w="180"/>
            </w:tcMar>
          </w:tcPr>
          <w:p>
            <w:pPr>
              <w:spacing w:after="0" w:line="264"/>
            </w:pPr>
            <w:r>
              <w:rPr>
                <w:b/>
                <w:bCs/>
                <w:color w:val="1A1A1A"/>
                <w:sz w:val="18"/>
                <w:szCs w:val="18"/>
              </w:rPr>
              <w:t xml:space="preserve">BLACK = sourced from a received document | RED = drafted gap-fill, unverified, for Envision to confirm or replace</w:t>
            </w:r>
          </w:p>
        </w:tc>
      </w:tr>
    </w:tbl>
    <w:p>
      <w:pPr>
        <w:spacing w:after="120" w:line="276"/>
      </w:pPr>
      <w:r>
        <w:t xml:space="preserve"/>
      </w:r>
    </w:p>
    <w:p>
      <w:pPr>
        <w:spacing w:after="120" w:line="276"/>
      </w:pPr>
      <w:r>
        <w:rPr>
          <w:color w:val="1A1A1A"/>
          <w:sz w:val="19"/>
          <w:szCs w:val="19"/>
        </w:rPr>
        <w:t xml:space="preserve">Clarification 2 confirms that the Contracted Capacity in Volume III Appendix 01 Clause 1 will be the Declared Capacity offered in Section 1 of Volume II, amended into the Contract at execution. Clarification 66 confirms the declared capacity must be achieved and demonstrated at commissioning.</w:t>
      </w:r>
    </w:p>
    <w:p>
      <w:pPr>
        <w:pStyle w:val="ListParagraph"/>
        <w:numPr>
          <w:ilvl w:val="0"/>
          <w:numId w:val="2"/>
        </w:numPr>
        <w:spacing w:after="140" w:line="276"/>
      </w:pPr>
      <w:r>
        <w:rPr>
          <w:color w:val="1A1A1A"/>
          <w:sz w:val="19"/>
          <w:szCs w:val="19"/>
        </w:rPr>
        <w:t xml:space="preserve">Declared Capacity: 10 MW / 40 MWh. Every contractual obligation - availability, round-trip efficiency, dispatchable capacity, cycle allowance - is assessed against this figure.</w:t>
      </w:r>
    </w:p>
    <w:p>
      <w:pPr>
        <w:pStyle w:val="ListParagraph"/>
        <w:numPr>
          <w:ilvl w:val="0"/>
          <w:numId w:val="2"/>
        </w:numPr>
        <w:spacing w:after="140" w:line="276"/>
      </w:pPr>
      <w:r>
        <w:rPr>
          <w:color w:val="1A1A1A"/>
          <w:sz w:val="19"/>
          <w:szCs w:val="19"/>
        </w:rPr>
        <w:t xml:space="preserve">Installed equipment: 11 MW / 44 MWh, comprising 4 x ENPCS2520 on one AC skid (10.08 MW) plus the DC container set described in section 3.</w:t>
      </w:r>
    </w:p>
    <w:p>
      <w:pPr>
        <w:pStyle w:val="ListParagraph"/>
        <w:numPr>
          <w:ilvl w:val="0"/>
          <w:numId w:val="2"/>
        </w:numPr>
        <w:spacing w:after="140" w:line="276"/>
      </w:pPr>
      <w:r>
        <w:rPr>
          <w:color w:val="C00000"/>
          <w:sz w:val="19"/>
          <w:szCs w:val="19"/>
        </w:rPr>
        <w:t xml:space="preserve">Export limiter: the EnOS PPC limits net active power at the revenue metering point to 10.0 MW continuous, with a hard ceiling of 11.0 MW (10 MW +10 %) at the Termination Point. Setpoint resolution 0.1 MW, response time under 1 s to a step, fail-safe action to 0 MW on loss of measurement or loss of PPC heartbeat. Redundant measurement is taken from the revenue metering CT/VT set. Envision to confirm the limiter hierarchy, response time and fail-safe state.</w:t>
      </w:r>
    </w:p>
    <w:p>
      <w:pPr>
        <w:pStyle w:val="ListParagraph"/>
        <w:numPr>
          <w:ilvl w:val="0"/>
          <w:numId w:val="2"/>
        </w:numPr>
        <w:spacing w:after="140" w:line="276"/>
      </w:pPr>
      <w:r>
        <w:rPr>
          <w:color w:val="C00000"/>
          <w:sz w:val="19"/>
          <w:szCs w:val="19"/>
        </w:rPr>
        <w:t xml:space="preserve">Second technical proposal: Addendum No. 01 item 23 permits a maximum of two Technical Proposals, and clarification 73(a) confirms up to two alternative complete solutions with no interchange of major equipment between them. Bidder decision pending Envision's answer on the grid-forming EMT model (section 7): if a grid-forming PSCAD model of the ENPCS2520 does not exist, the second proposal should carry a converter for which one does.</w:t>
      </w:r>
    </w:p>
    <w:p>
      <w:pPr>
        <w:pStyle w:val="Heading1"/>
        <w:spacing w:after="140" w:before="320"/>
      </w:pPr>
      <w:r>
        <w:rPr>
          <w:b/>
          <w:bCs/>
          <w:color w:val="123B5D"/>
          <w:sz w:val="26"/>
          <w:szCs w:val="26"/>
        </w:rPr>
        <w:t xml:space="preserve">3. Equipment schedule and configuration</w:t>
      </w:r>
    </w:p>
    <w:tbl>
      <w:tblPr>
        <w:tblW w:type="dxa" w:w="9028"/>
        <w:tblBorders>
          <w:top w:val="none" w:color="auto" w:sz="0"/>
          <w:left w:val="single" w:color="123B5D" w:sz="18"/>
          <w:bottom w:val="none" w:color="auto" w:sz="0"/>
          <w:right w:val="none" w:color="auto" w:sz="0"/>
          <w:insideH w:val="none" w:color="auto" w:sz="0"/>
          <w:insideV w:val="none" w:color="auto" w:sz="0"/>
        </w:tblBorders>
      </w:tblPr>
      <w:tblGrid>
        <w:gridCol w:w="9028"/>
      </w:tblGrid>
      <w:tr>
        <w:tc>
          <w:tcPr>
            <w:tcW w:type="dxa" w:w="9028"/>
            <w:shd w:fill="F2F5F7" w:color="auto" w:val="clear"/>
            <w:tcMar>
              <w:top w:type="dxa" w:w="140"/>
              <w:left w:type="dxa" w:w="180"/>
              <w:bottom w:type="dxa" w:w="140"/>
              <w:right w:type="dxa" w:w="180"/>
            </w:tcMar>
          </w:tcPr>
          <w:p>
            <w:pPr>
              <w:spacing w:after="0" w:line="264"/>
            </w:pPr>
            <w:r>
              <w:rPr>
                <w:b/>
                <w:bCs/>
                <w:color w:val="1A1A1A"/>
                <w:sz w:val="18"/>
                <w:szCs w:val="18"/>
              </w:rPr>
              <w:t xml:space="preserve">BLACK = sourced from a received document | RED = drafted gap-fill, unverified, for Envision to confirm or replace</w:t>
            </w:r>
          </w:p>
        </w:tc>
      </w:tr>
    </w:tbl>
    <w:p>
      <w:pPr>
        <w:spacing w:after="120" w:line="276"/>
      </w:pPr>
      <w:r>
        <w:t xml:space="preserve"/>
      </w:r>
    </w:p>
    <w:p>
      <w:pPr>
        <w:spacing w:after="120" w:line="276"/>
      </w:pPr>
      <w:r>
        <w:rPr>
          <w:color w:val="1A1A1A"/>
          <w:sz w:val="19"/>
          <w:szCs w:val="19"/>
        </w:rPr>
        <w:t xml:space="preserve">All part numbers, ratings and dimensions below are as recorded in the Envision design calculations, the filled Volume 2 Guaranteed Technical Particulars and the 21 August evidence dossier.</w:t>
      </w:r>
    </w:p>
    <w:tbl>
      <w:tblPr>
        <w:tblW w:type="dxa" w:w="9028"/>
        <w:tblBorders>
          <w:top w:val="single" w:color="C9D2DA" w:sz="6"/>
          <w:left w:val="none" w:color="auto" w:sz="0"/>
          <w:bottom w:val="single" w:color="C9D2DA" w:sz="6"/>
          <w:right w:val="none" w:color="auto" w:sz="0"/>
          <w:insideH w:val="single" w:color="C9D2DA" w:sz="4"/>
          <w:insideV w:val="none" w:color="auto" w:sz="0"/>
        </w:tblBorders>
      </w:tblPr>
      <w:tblGrid>
        <w:gridCol w:w="1806"/>
        <w:gridCol w:w="2889"/>
        <w:gridCol w:w="4333"/>
      </w:tblGrid>
      <w:tr>
        <w:trPr>
          <w:tblHeader/>
        </w:trPr>
        <w:tc>
          <w:tcPr>
            <w:tcW w:type="dxa" w:w="1806"/>
            <w:shd w:fill="123B5D" w:color="auto" w:val="clear"/>
            <w:tcMar>
              <w:top w:type="dxa" w:w="90"/>
              <w:left w:type="dxa" w:w="120"/>
              <w:bottom w:type="dxa" w:w="90"/>
              <w:right w:type="dxa" w:w="120"/>
            </w:tcMar>
          </w:tcPr>
          <w:p>
            <w:pPr>
              <w:spacing w:after="0"/>
            </w:pPr>
            <w:r>
              <w:rPr>
                <w:b/>
                <w:bCs/>
                <w:color w:val="FFFFFF"/>
                <w:sz w:val="17"/>
                <w:szCs w:val="17"/>
              </w:rPr>
              <w:t xml:space="preserve">Item</w:t>
            </w:r>
          </w:p>
        </w:tc>
        <w:tc>
          <w:tcPr>
            <w:tcW w:type="dxa" w:w="2889"/>
            <w:shd w:fill="123B5D" w:color="auto" w:val="clear"/>
            <w:tcMar>
              <w:top w:type="dxa" w:w="90"/>
              <w:left w:type="dxa" w:w="120"/>
              <w:bottom w:type="dxa" w:w="90"/>
              <w:right w:type="dxa" w:w="120"/>
            </w:tcMar>
          </w:tcPr>
          <w:p>
            <w:pPr>
              <w:spacing w:after="0"/>
            </w:pPr>
            <w:r>
              <w:rPr>
                <w:b/>
                <w:bCs/>
                <w:color w:val="FFFFFF"/>
                <w:sz w:val="17"/>
                <w:szCs w:val="17"/>
              </w:rPr>
              <w:t xml:space="preserve">Designation</w:t>
            </w:r>
          </w:p>
        </w:tc>
        <w:tc>
          <w:tcPr>
            <w:tcW w:type="dxa" w:w="4333"/>
            <w:shd w:fill="123B5D" w:color="auto" w:val="clear"/>
            <w:tcMar>
              <w:top w:type="dxa" w:w="90"/>
              <w:left w:type="dxa" w:w="120"/>
              <w:bottom w:type="dxa" w:w="90"/>
              <w:right w:type="dxa" w:w="120"/>
            </w:tcMar>
          </w:tcPr>
          <w:p>
            <w:pPr>
              <w:spacing w:after="0"/>
            </w:pPr>
            <w:r>
              <w:rPr>
                <w:b/>
                <w:bCs/>
                <w:color w:val="FFFFFF"/>
                <w:sz w:val="17"/>
                <w:szCs w:val="17"/>
              </w:rPr>
              <w:t xml:space="preserve">Rating and particulars</w:t>
            </w:r>
          </w:p>
        </w:tc>
      </w:tr>
      <w:tr>
        <w:tc>
          <w:tcPr>
            <w:tcW w:type="dxa" w:w="9028"/>
            <w:gridSpan w:val="3"/>
            <w:shd w:fill="E4EAEF" w:color="auto" w:val="clear"/>
            <w:tcMar>
              <w:top w:type="dxa" w:w="80"/>
              <w:left w:type="dxa" w:w="120"/>
              <w:bottom w:type="dxa" w:w="80"/>
              <w:right w:type="dxa" w:w="120"/>
            </w:tcMar>
          </w:tcPr>
          <w:p>
            <w:pPr>
              <w:spacing w:after="0"/>
            </w:pPr>
            <w:r>
              <w:rPr>
                <w:b/>
                <w:bCs/>
                <w:color w:val="123B5D"/>
                <w:sz w:val="17"/>
                <w:szCs w:val="17"/>
              </w:rPr>
              <w:t xml:space="preserve">Battery</w:t>
            </w:r>
          </w:p>
        </w:tc>
      </w:tr>
      <w:tr>
        <w:tc>
          <w:tcPr>
            <w:tcW w:type="dxa" w:w="1806"/>
            <w:shd w:fill="F2F5F7" w:color="auto" w:val="clear"/>
            <w:tcMar>
              <w:top w:type="dxa" w:w="90"/>
              <w:left w:type="dxa" w:w="120"/>
              <w:bottom w:type="dxa" w:w="90"/>
              <w:right w:type="dxa" w:w="120"/>
            </w:tcMar>
          </w:tcPr>
          <w:p>
            <w:pPr>
              <w:spacing w:after="0" w:line="264"/>
            </w:pPr>
            <w:r>
              <w:rPr>
                <w:color w:val="1A1A1A"/>
                <w:sz w:val="17"/>
                <w:szCs w:val="17"/>
              </w:rPr>
              <w:t xml:space="preserve">Cell</w:t>
            </w:r>
          </w:p>
        </w:tc>
        <w:tc>
          <w:tcPr>
            <w:tcW w:type="dxa" w:w="2889"/>
            <w:shd w:fill="F2F5F7" w:color="auto" w:val="clear"/>
            <w:tcMar>
              <w:top w:type="dxa" w:w="90"/>
              <w:left w:type="dxa" w:w="120"/>
              <w:bottom w:type="dxa" w:w="90"/>
              <w:right w:type="dxa" w:w="120"/>
            </w:tcMar>
          </w:tcPr>
          <w:p>
            <w:pPr>
              <w:spacing w:after="0" w:line="264"/>
            </w:pPr>
            <w:r>
              <w:rPr>
                <w:color w:val="1A1A1A"/>
                <w:sz w:val="17"/>
                <w:szCs w:val="17"/>
              </w:rPr>
              <w:t xml:space="preserve">HC-L755A, LFP</w:t>
            </w:r>
          </w:p>
        </w:tc>
        <w:tc>
          <w:tcPr>
            <w:tcW w:type="dxa" w:w="4333"/>
            <w:shd w:fill="F2F5F7" w:color="auto" w:val="clear"/>
            <w:tcMar>
              <w:top w:type="dxa" w:w="90"/>
              <w:left w:type="dxa" w:w="120"/>
              <w:bottom w:type="dxa" w:w="90"/>
              <w:right w:type="dxa" w:w="120"/>
            </w:tcMar>
          </w:tcPr>
          <w:p>
            <w:pPr>
              <w:spacing w:after="0" w:line="264"/>
            </w:pPr>
            <w:r>
              <w:rPr>
                <w:color w:val="1A1A1A"/>
                <w:sz w:val="17"/>
                <w:szCs w:val="17"/>
              </w:rPr>
              <w:t xml:space="preserve">3.2 V / 755 Ah / 2416 Wh. Approx. 10,000 cycles to 70 % retention at 25 C, 0.25P. Storage recovery 99 % at 25 C and 97 % at 45 C after 135 days at 100 % SOC.</w:t>
            </w:r>
          </w:p>
        </w:tc>
      </w:tr>
      <w:tr>
        <w:tc>
          <w:tcPr>
            <w:tcW w:type="dxa" w:w="1806"/>
            <w:shd w:fill="FFFFFF" w:color="auto" w:val="clear"/>
            <w:tcMar>
              <w:top w:type="dxa" w:w="90"/>
              <w:left w:type="dxa" w:w="120"/>
              <w:bottom w:type="dxa" w:w="90"/>
              <w:right w:type="dxa" w:w="120"/>
            </w:tcMar>
          </w:tcPr>
          <w:p>
            <w:pPr>
              <w:spacing w:after="0" w:line="264"/>
            </w:pPr>
            <w:r>
              <w:rPr>
                <w:color w:val="1A1A1A"/>
                <w:sz w:val="17"/>
                <w:szCs w:val="17"/>
              </w:rPr>
              <w:t xml:space="preserve">Module</w:t>
            </w:r>
          </w:p>
        </w:tc>
        <w:tc>
          <w:tcPr>
            <w:tcW w:type="dxa" w:w="2889"/>
            <w:shd w:fill="FFFFFF" w:color="auto" w:val="clear"/>
            <w:tcMar>
              <w:top w:type="dxa" w:w="90"/>
              <w:left w:type="dxa" w:w="120"/>
              <w:bottom w:type="dxa" w:w="90"/>
              <w:right w:type="dxa" w:w="120"/>
            </w:tcMar>
          </w:tcPr>
          <w:p>
            <w:pPr>
              <w:spacing w:after="0" w:line="264"/>
            </w:pPr>
            <w:r>
              <w:rPr>
                <w:color w:val="1A1A1A"/>
                <w:sz w:val="17"/>
                <w:szCs w:val="17"/>
              </w:rPr>
              <w:t xml:space="preserve">ENS-1P416S-L-10</w:t>
            </w:r>
          </w:p>
        </w:tc>
        <w:tc>
          <w:tcPr>
            <w:tcW w:type="dxa" w:w="4333"/>
            <w:shd w:fill="FFFFFF" w:color="auto" w:val="clear"/>
            <w:tcMar>
              <w:top w:type="dxa" w:w="90"/>
              <w:left w:type="dxa" w:w="120"/>
              <w:bottom w:type="dxa" w:w="90"/>
              <w:right w:type="dxa" w:w="120"/>
            </w:tcMar>
          </w:tcPr>
          <w:p>
            <w:pPr>
              <w:spacing w:after="0" w:line="264"/>
            </w:pPr>
            <w:r>
              <w:rPr>
                <w:color w:val="1A1A1A"/>
                <w:sz w:val="17"/>
                <w:szCs w:val="17"/>
              </w:rPr>
              <w:t xml:space="preserve">Rack configuration 416S1P x 6.</w:t>
            </w:r>
          </w:p>
        </w:tc>
      </w:tr>
      <w:tr>
        <w:tc>
          <w:tcPr>
            <w:tcW w:type="dxa" w:w="1806"/>
            <w:shd w:fill="F2F5F7" w:color="auto" w:val="clear"/>
            <w:tcMar>
              <w:top w:type="dxa" w:w="90"/>
              <w:left w:type="dxa" w:w="120"/>
              <w:bottom w:type="dxa" w:w="90"/>
              <w:right w:type="dxa" w:w="120"/>
            </w:tcMar>
          </w:tcPr>
          <w:p>
            <w:pPr>
              <w:spacing w:after="0" w:line="264"/>
            </w:pPr>
            <w:r>
              <w:rPr>
                <w:color w:val="1A1A1A"/>
                <w:sz w:val="17"/>
                <w:szCs w:val="17"/>
              </w:rPr>
              <w:t xml:space="preserve">DC container (primary)</w:t>
            </w:r>
          </w:p>
        </w:tc>
        <w:tc>
          <w:tcPr>
            <w:tcW w:type="dxa" w:w="2889"/>
            <w:shd w:fill="F2F5F7" w:color="auto" w:val="clear"/>
            <w:tcMar>
              <w:top w:type="dxa" w:w="90"/>
              <w:left w:type="dxa" w:w="120"/>
              <w:bottom w:type="dxa" w:w="90"/>
              <w:right w:type="dxa" w:w="120"/>
            </w:tcMar>
          </w:tcPr>
          <w:p>
            <w:pPr>
              <w:spacing w:after="0" w:line="264"/>
            </w:pPr>
            <w:r>
              <w:rPr>
                <w:color w:val="1A1A1A"/>
                <w:sz w:val="17"/>
                <w:szCs w:val="17"/>
              </w:rPr>
              <w:t xml:space="preserve">ENS-D06G-24120-10100-000</w:t>
            </w:r>
          </w:p>
        </w:tc>
        <w:tc>
          <w:tcPr>
            <w:tcW w:type="dxa" w:w="4333"/>
            <w:shd w:fill="F2F5F7" w:color="auto" w:val="clear"/>
            <w:tcMar>
              <w:top w:type="dxa" w:w="90"/>
              <w:left w:type="dxa" w:w="120"/>
              <w:bottom w:type="dxa" w:w="90"/>
              <w:right w:type="dxa" w:w="120"/>
            </w:tcMar>
          </w:tcPr>
          <w:p>
            <w:pPr>
              <w:spacing w:after="0" w:line="264"/>
            </w:pPr>
            <w:r>
              <w:rPr>
                <w:color w:val="1A1A1A"/>
                <w:sz w:val="17"/>
                <w:szCs w:val="17"/>
              </w:rPr>
              <w:t xml:space="preserve">6,030 kWh per container; 6 racks in parallel; 24.121 MWh nameplate per AC twin-skid; 4 containers per twin-skid. DC range 1165-1500 V.</w:t>
            </w:r>
          </w:p>
        </w:tc>
      </w:tr>
      <w:tr>
        <w:tc>
          <w:tcPr>
            <w:tcW w:type="dxa" w:w="1806"/>
            <w:shd w:fill="FFFFFF" w:color="auto" w:val="clear"/>
            <w:tcMar>
              <w:top w:type="dxa" w:w="90"/>
              <w:left w:type="dxa" w:w="120"/>
              <w:bottom w:type="dxa" w:w="90"/>
              <w:right w:type="dxa" w:w="120"/>
            </w:tcMar>
          </w:tcPr>
          <w:p>
            <w:pPr>
              <w:spacing w:after="0" w:line="264"/>
            </w:pPr>
            <w:r>
              <w:rPr>
                <w:color w:val="1A1A1A"/>
                <w:sz w:val="17"/>
                <w:szCs w:val="17"/>
              </w:rPr>
              <w:t xml:space="preserve">DC container (secondary)</w:t>
            </w:r>
          </w:p>
        </w:tc>
        <w:tc>
          <w:tcPr>
            <w:tcW w:type="dxa" w:w="2889"/>
            <w:shd w:fill="FFFFFF" w:color="auto" w:val="clear"/>
            <w:tcMar>
              <w:top w:type="dxa" w:w="90"/>
              <w:left w:type="dxa" w:w="120"/>
              <w:bottom w:type="dxa" w:w="90"/>
              <w:right w:type="dxa" w:w="120"/>
            </w:tcMar>
          </w:tcPr>
          <w:p>
            <w:pPr>
              <w:spacing w:after="0" w:line="264"/>
            </w:pPr>
            <w:r>
              <w:rPr>
                <w:color w:val="1A1A1A"/>
                <w:sz w:val="17"/>
                <w:szCs w:val="17"/>
              </w:rPr>
              <w:t xml:space="preserve">ENS-D10G-20100-10100-000</w:t>
            </w:r>
          </w:p>
        </w:tc>
        <w:tc>
          <w:tcPr>
            <w:tcW w:type="dxa" w:w="4333"/>
            <w:shd w:fill="FFFFFF" w:color="auto" w:val="clear"/>
            <w:tcMar>
              <w:top w:type="dxa" w:w="90"/>
              <w:left w:type="dxa" w:w="120"/>
              <w:bottom w:type="dxa" w:w="90"/>
              <w:right w:type="dxa" w:w="120"/>
            </w:tcMar>
          </w:tcPr>
          <w:p>
            <w:pPr>
              <w:spacing w:after="0" w:line="264"/>
            </w:pPr>
            <w:r>
              <w:rPr>
                <w:color w:val="1A1A1A"/>
                <w:sz w:val="17"/>
                <w:szCs w:val="17"/>
              </w:rPr>
              <w:t xml:space="preserve">Supersedes ENS-D10E. 10 racks per DC container. DC range 1165-1500 V.</w:t>
            </w:r>
          </w:p>
        </w:tc>
      </w:tr>
      <w:tr>
        <w:tc>
          <w:tcPr>
            <w:tcW w:type="dxa" w:w="1806"/>
            <w:shd w:fill="F2F5F7" w:color="auto" w:val="clear"/>
            <w:tcMar>
              <w:top w:type="dxa" w:w="90"/>
              <w:left w:type="dxa" w:w="120"/>
              <w:bottom w:type="dxa" w:w="90"/>
              <w:right w:type="dxa" w:w="120"/>
            </w:tcMar>
          </w:tcPr>
          <w:p>
            <w:pPr>
              <w:spacing w:after="0" w:line="264"/>
            </w:pPr>
            <w:r>
              <w:rPr>
                <w:color w:val="1A1A1A"/>
                <w:sz w:val="17"/>
                <w:szCs w:val="17"/>
              </w:rPr>
              <w:t xml:space="preserve">Container envelope</w:t>
            </w:r>
          </w:p>
        </w:tc>
        <w:tc>
          <w:tcPr>
            <w:tcW w:type="dxa" w:w="2889"/>
            <w:shd w:fill="F2F5F7" w:color="auto" w:val="clear"/>
            <w:tcMar>
              <w:top w:type="dxa" w:w="90"/>
              <w:left w:type="dxa" w:w="120"/>
              <w:bottom w:type="dxa" w:w="90"/>
              <w:right w:type="dxa" w:w="120"/>
            </w:tcMar>
          </w:tcPr>
          <w:p>
            <w:pPr>
              <w:spacing w:after="0" w:line="264"/>
            </w:pPr>
            <w:r>
              <w:rPr>
                <w:color w:val="1A1A1A"/>
                <w:sz w:val="17"/>
                <w:szCs w:val="17"/>
              </w:rPr>
              <w:t xml:space="preserve">-</w:t>
            </w:r>
          </w:p>
        </w:tc>
        <w:tc>
          <w:tcPr>
            <w:tcW w:type="dxa" w:w="4333"/>
            <w:shd w:fill="F2F5F7" w:color="auto" w:val="clear"/>
            <w:tcMar>
              <w:top w:type="dxa" w:w="90"/>
              <w:left w:type="dxa" w:w="120"/>
              <w:bottom w:type="dxa" w:w="90"/>
              <w:right w:type="dxa" w:w="120"/>
            </w:tcMar>
          </w:tcPr>
          <w:p>
            <w:pPr>
              <w:spacing w:after="0" w:line="264"/>
            </w:pPr>
            <w:r>
              <w:rPr>
                <w:color w:val="1A1A1A"/>
                <w:sz w:val="17"/>
                <w:szCs w:val="17"/>
              </w:rPr>
              <w:t xml:space="preserve">6058 (L) x 2438 (W) x 3258 (H) mm, under 50,000 kg.</w:t>
            </w:r>
          </w:p>
        </w:tc>
      </w:tr>
      <w:tr>
        <w:tc>
          <w:tcPr>
            <w:tcW w:type="dxa" w:w="9028"/>
            <w:gridSpan w:val="3"/>
            <w:shd w:fill="E4EAEF" w:color="auto" w:val="clear"/>
            <w:tcMar>
              <w:top w:type="dxa" w:w="80"/>
              <w:left w:type="dxa" w:w="120"/>
              <w:bottom w:type="dxa" w:w="80"/>
              <w:right w:type="dxa" w:w="120"/>
            </w:tcMar>
          </w:tcPr>
          <w:p>
            <w:pPr>
              <w:spacing w:after="0"/>
            </w:pPr>
            <w:r>
              <w:rPr>
                <w:b/>
                <w:bCs/>
                <w:color w:val="123B5D"/>
                <w:sz w:val="17"/>
                <w:szCs w:val="17"/>
              </w:rPr>
              <w:t xml:space="preserve">Power conversion</w:t>
            </w:r>
          </w:p>
        </w:tc>
      </w:tr>
      <w:tr>
        <w:tc>
          <w:tcPr>
            <w:tcW w:type="dxa" w:w="1806"/>
            <w:shd w:fill="F2F5F7" w:color="auto" w:val="clear"/>
            <w:tcMar>
              <w:top w:type="dxa" w:w="90"/>
              <w:left w:type="dxa" w:w="120"/>
              <w:bottom w:type="dxa" w:w="90"/>
              <w:right w:type="dxa" w:w="120"/>
            </w:tcMar>
          </w:tcPr>
          <w:p>
            <w:pPr>
              <w:spacing w:after="0" w:line="264"/>
            </w:pPr>
            <w:r>
              <w:rPr>
                <w:color w:val="1A1A1A"/>
                <w:sz w:val="17"/>
                <w:szCs w:val="17"/>
              </w:rPr>
              <w:t xml:space="preserve">PCS</w:t>
            </w:r>
          </w:p>
        </w:tc>
        <w:tc>
          <w:tcPr>
            <w:tcW w:type="dxa" w:w="2889"/>
            <w:shd w:fill="F2F5F7" w:color="auto" w:val="clear"/>
            <w:tcMar>
              <w:top w:type="dxa" w:w="90"/>
              <w:left w:type="dxa" w:w="120"/>
              <w:bottom w:type="dxa" w:w="90"/>
              <w:right w:type="dxa" w:w="120"/>
            </w:tcMar>
          </w:tcPr>
          <w:p>
            <w:pPr>
              <w:spacing w:after="0" w:line="264"/>
            </w:pPr>
            <w:r>
              <w:rPr>
                <w:color w:val="1A1A1A"/>
                <w:sz w:val="17"/>
                <w:szCs w:val="17"/>
              </w:rPr>
              <w:t xml:space="preserve">ENPCS2520</w:t>
            </w:r>
          </w:p>
        </w:tc>
        <w:tc>
          <w:tcPr>
            <w:tcW w:type="dxa" w:w="4333"/>
            <w:shd w:fill="F2F5F7" w:color="auto" w:val="clear"/>
            <w:tcMar>
              <w:top w:type="dxa" w:w="90"/>
              <w:left w:type="dxa" w:w="120"/>
              <w:bottom w:type="dxa" w:w="90"/>
              <w:right w:type="dxa" w:w="120"/>
            </w:tcMar>
          </w:tcPr>
          <w:p>
            <w:pPr>
              <w:spacing w:after="0" w:line="264"/>
            </w:pPr>
            <w:r>
              <w:rPr>
                <w:color w:val="1A1A1A"/>
                <w:sz w:val="17"/>
                <w:szCs w:val="17"/>
              </w:rPr>
              <w:t xml:space="preserve">2.52 MVA, 690 V, 50 Hz, IP65, -25 to +45 C, at most 85 dB(A) at 1 m. Droop settable 1-9 %; deadband 0.0-1.0 Hz in 0.05 Hz steps; power factor +/-0.95.</w:t>
            </w:r>
          </w:p>
        </w:tc>
      </w:tr>
      <w:tr>
        <w:tc>
          <w:tcPr>
            <w:tcW w:type="dxa" w:w="1806"/>
            <w:shd w:fill="FFFFFF" w:color="auto" w:val="clear"/>
            <w:tcMar>
              <w:top w:type="dxa" w:w="90"/>
              <w:left w:type="dxa" w:w="120"/>
              <w:bottom w:type="dxa" w:w="90"/>
              <w:right w:type="dxa" w:w="120"/>
            </w:tcMar>
          </w:tcPr>
          <w:p>
            <w:pPr>
              <w:spacing w:after="0" w:line="264"/>
            </w:pPr>
            <w:r>
              <w:rPr>
                <w:color w:val="1A1A1A"/>
                <w:sz w:val="17"/>
                <w:szCs w:val="17"/>
              </w:rPr>
              <w:t xml:space="preserve">AC skid</w:t>
            </w:r>
          </w:p>
        </w:tc>
        <w:tc>
          <w:tcPr>
            <w:tcW w:type="dxa" w:w="2889"/>
            <w:shd w:fill="FFFFFF" w:color="auto" w:val="clear"/>
            <w:tcMar>
              <w:top w:type="dxa" w:w="90"/>
              <w:left w:type="dxa" w:w="120"/>
              <w:bottom w:type="dxa" w:w="90"/>
              <w:right w:type="dxa" w:w="120"/>
            </w:tcMar>
          </w:tcPr>
          <w:p>
            <w:pPr>
              <w:spacing w:after="0" w:line="264"/>
            </w:pPr>
            <w:r>
              <w:rPr>
                <w:color w:val="1A1A1A"/>
                <w:sz w:val="17"/>
                <w:szCs w:val="17"/>
              </w:rPr>
              <w:t xml:space="preserve">4 x ENPCS2520</w:t>
            </w:r>
          </w:p>
        </w:tc>
        <w:tc>
          <w:tcPr>
            <w:tcW w:type="dxa" w:w="4333"/>
            <w:shd w:fill="FFFFFF" w:color="auto" w:val="clear"/>
            <w:tcMar>
              <w:top w:type="dxa" w:w="90"/>
              <w:left w:type="dxa" w:w="120"/>
              <w:bottom w:type="dxa" w:w="90"/>
              <w:right w:type="dxa" w:w="120"/>
            </w:tcMar>
          </w:tcPr>
          <w:p>
            <w:pPr>
              <w:spacing w:after="0" w:line="264"/>
            </w:pPr>
            <w:r>
              <w:rPr>
                <w:color w:val="1A1A1A"/>
                <w:sz w:val="17"/>
                <w:szCs w:val="17"/>
              </w:rPr>
              <w:t xml:space="preserve">10.08 MW aggregate.</w:t>
            </w:r>
          </w:p>
        </w:tc>
      </w:tr>
      <w:tr>
        <w:tc>
          <w:tcPr>
            <w:tcW w:type="dxa" w:w="1806"/>
            <w:shd w:fill="F2F5F7" w:color="auto" w:val="clear"/>
            <w:tcMar>
              <w:top w:type="dxa" w:w="90"/>
              <w:left w:type="dxa" w:w="120"/>
              <w:bottom w:type="dxa" w:w="90"/>
              <w:right w:type="dxa" w:w="120"/>
            </w:tcMar>
          </w:tcPr>
          <w:p>
            <w:pPr>
              <w:spacing w:after="0" w:line="264"/>
            </w:pPr>
            <w:r>
              <w:rPr>
                <w:color w:val="1A1A1A"/>
                <w:sz w:val="17"/>
                <w:szCs w:val="17"/>
              </w:rPr>
              <w:t xml:space="preserve">Step-up transformer</w:t>
            </w:r>
          </w:p>
        </w:tc>
        <w:tc>
          <w:tcPr>
            <w:tcW w:type="dxa" w:w="2889"/>
            <w:shd w:fill="F2F5F7" w:color="auto" w:val="clear"/>
            <w:tcMar>
              <w:top w:type="dxa" w:w="90"/>
              <w:left w:type="dxa" w:w="120"/>
              <w:bottom w:type="dxa" w:w="90"/>
              <w:right w:type="dxa" w:w="120"/>
            </w:tcMar>
          </w:tcPr>
          <w:p>
            <w:pPr>
              <w:spacing w:after="0" w:line="264"/>
            </w:pPr>
            <w:r>
              <w:rPr>
                <w:color w:val="1A1A1A"/>
                <w:sz w:val="17"/>
                <w:szCs w:val="17"/>
              </w:rPr>
              <w:t xml:space="preserve">10,100 kVA</w:t>
            </w:r>
          </w:p>
        </w:tc>
        <w:tc>
          <w:tcPr>
            <w:tcW w:type="dxa" w:w="4333"/>
            <w:shd w:fill="F2F5F7" w:color="auto" w:val="clear"/>
            <w:tcMar>
              <w:top w:type="dxa" w:w="90"/>
              <w:left w:type="dxa" w:w="120"/>
              <w:bottom w:type="dxa" w:w="90"/>
              <w:right w:type="dxa" w:w="120"/>
            </w:tcMar>
          </w:tcPr>
          <w:p>
            <w:pPr>
              <w:spacing w:after="0" w:line="264"/>
            </w:pPr>
            <w:r>
              <w:rPr>
                <w:color w:val="1A1A1A"/>
                <w:sz w:val="17"/>
                <w:szCs w:val="17"/>
              </w:rPr>
              <w:t xml:space="preserve">0.69 / 33 kV, three-winding, off-load tap changer, LI 170 kV / AC 70 kV, oil-temperature indication, alarm and trip.</w:t>
            </w:r>
          </w:p>
        </w:tc>
      </w:tr>
      <w:tr>
        <w:tc>
          <w:tcPr>
            <w:tcW w:type="dxa" w:w="1806"/>
            <w:shd w:fill="FFFFFF" w:color="auto" w:val="clear"/>
            <w:tcMar>
              <w:top w:type="dxa" w:w="90"/>
              <w:left w:type="dxa" w:w="120"/>
              <w:bottom w:type="dxa" w:w="90"/>
              <w:right w:type="dxa" w:w="120"/>
            </w:tcMar>
          </w:tcPr>
          <w:p>
            <w:pPr>
              <w:spacing w:after="0" w:line="264"/>
            </w:pPr>
            <w:r>
              <w:rPr>
                <w:color w:val="1A1A1A"/>
                <w:sz w:val="17"/>
                <w:szCs w:val="17"/>
              </w:rPr>
              <w:t xml:space="preserve">MV switchgear</w:t>
            </w:r>
          </w:p>
        </w:tc>
        <w:tc>
          <w:tcPr>
            <w:tcW w:type="dxa" w:w="2889"/>
            <w:shd w:fill="FFFFFF" w:color="auto" w:val="clear"/>
            <w:tcMar>
              <w:top w:type="dxa" w:w="90"/>
              <w:left w:type="dxa" w:w="120"/>
              <w:bottom w:type="dxa" w:w="90"/>
              <w:right w:type="dxa" w:w="120"/>
            </w:tcMar>
          </w:tcPr>
          <w:p>
            <w:pPr>
              <w:spacing w:after="0" w:line="264"/>
            </w:pPr>
            <w:r>
              <w:rPr>
                <w:color w:val="1A1A1A"/>
                <w:sz w:val="17"/>
                <w:szCs w:val="17"/>
              </w:rPr>
              <w:t xml:space="preserve">36 kV / 630 A RMU</w:t>
            </w:r>
          </w:p>
        </w:tc>
        <w:tc>
          <w:tcPr>
            <w:tcW w:type="dxa" w:w="4333"/>
            <w:shd w:fill="FFFFFF" w:color="auto" w:val="clear"/>
            <w:tcMar>
              <w:top w:type="dxa" w:w="90"/>
              <w:left w:type="dxa" w:w="120"/>
              <w:bottom w:type="dxa" w:w="90"/>
              <w:right w:type="dxa" w:w="120"/>
            </w:tcMar>
          </w:tcPr>
          <w:p>
            <w:pPr>
              <w:spacing w:after="0" w:line="264"/>
            </w:pPr>
            <w:r>
              <w:rPr>
                <w:color w:val="1A1A1A"/>
                <w:sz w:val="17"/>
                <w:szCs w:val="17"/>
              </w:rPr>
              <w:t xml:space="preserve">33 kV rated, 170 kV LI / 70 kV power-frequency withstand, gas tank IP65, enclosure IP3X.</w:t>
            </w:r>
          </w:p>
        </w:tc>
      </w:tr>
      <w:tr>
        <w:tc>
          <w:tcPr>
            <w:tcW w:type="dxa" w:w="1806"/>
            <w:shd w:fill="F2F5F7" w:color="auto" w:val="clear"/>
            <w:tcMar>
              <w:top w:type="dxa" w:w="90"/>
              <w:left w:type="dxa" w:w="120"/>
              <w:bottom w:type="dxa" w:w="90"/>
              <w:right w:type="dxa" w:w="120"/>
            </w:tcMar>
          </w:tcPr>
          <w:p>
            <w:pPr>
              <w:spacing w:after="0" w:line="264"/>
            </w:pPr>
            <w:r>
              <w:rPr>
                <w:color w:val="1A1A1A"/>
                <w:sz w:val="17"/>
                <w:szCs w:val="17"/>
              </w:rPr>
              <w:t xml:space="preserve">MV station envelope</w:t>
            </w:r>
          </w:p>
        </w:tc>
        <w:tc>
          <w:tcPr>
            <w:tcW w:type="dxa" w:w="2889"/>
            <w:shd w:fill="F2F5F7" w:color="auto" w:val="clear"/>
            <w:tcMar>
              <w:top w:type="dxa" w:w="90"/>
              <w:left w:type="dxa" w:w="120"/>
              <w:bottom w:type="dxa" w:w="90"/>
              <w:right w:type="dxa" w:w="120"/>
            </w:tcMar>
          </w:tcPr>
          <w:p>
            <w:pPr>
              <w:spacing w:after="0" w:line="264"/>
            </w:pPr>
            <w:r>
              <w:rPr>
                <w:color w:val="1A1A1A"/>
                <w:sz w:val="17"/>
                <w:szCs w:val="17"/>
              </w:rPr>
              <w:t xml:space="preserve">-</w:t>
            </w:r>
          </w:p>
        </w:tc>
        <w:tc>
          <w:tcPr>
            <w:tcW w:type="dxa" w:w="4333"/>
            <w:shd w:fill="F2F5F7" w:color="auto" w:val="clear"/>
            <w:tcMar>
              <w:top w:type="dxa" w:w="90"/>
              <w:left w:type="dxa" w:w="120"/>
              <w:bottom w:type="dxa" w:w="90"/>
              <w:right w:type="dxa" w:w="120"/>
            </w:tcMar>
          </w:tcPr>
          <w:p>
            <w:pPr>
              <w:spacing w:after="0" w:line="264"/>
            </w:pPr>
            <w:r>
              <w:rPr>
                <w:color w:val="1A1A1A"/>
                <w:sz w:val="17"/>
                <w:szCs w:val="17"/>
              </w:rPr>
              <w:t xml:space="preserve">12192 x 2438 x 2896 mm, approx. 49,000 kg.</w:t>
            </w:r>
          </w:p>
        </w:tc>
      </w:tr>
      <w:tr>
        <w:tc>
          <w:tcPr>
            <w:tcW w:type="dxa" w:w="9028"/>
            <w:gridSpan w:val="3"/>
            <w:shd w:fill="E4EAEF" w:color="auto" w:val="clear"/>
            <w:tcMar>
              <w:top w:type="dxa" w:w="80"/>
              <w:left w:type="dxa" w:w="120"/>
              <w:bottom w:type="dxa" w:w="80"/>
              <w:right w:type="dxa" w:w="120"/>
            </w:tcMar>
          </w:tcPr>
          <w:p>
            <w:pPr>
              <w:spacing w:after="0"/>
            </w:pPr>
            <w:r>
              <w:rPr>
                <w:b/>
                <w:bCs/>
                <w:color w:val="123B5D"/>
                <w:sz w:val="17"/>
                <w:szCs w:val="17"/>
              </w:rPr>
              <w:t xml:space="preserve">Controls</w:t>
            </w:r>
          </w:p>
        </w:tc>
      </w:tr>
      <w:tr>
        <w:tc>
          <w:tcPr>
            <w:tcW w:type="dxa" w:w="1806"/>
            <w:shd w:fill="F2F5F7" w:color="auto" w:val="clear"/>
            <w:tcMar>
              <w:top w:type="dxa" w:w="90"/>
              <w:left w:type="dxa" w:w="120"/>
              <w:bottom w:type="dxa" w:w="90"/>
              <w:right w:type="dxa" w:w="120"/>
            </w:tcMar>
          </w:tcPr>
          <w:p>
            <w:pPr>
              <w:spacing w:after="0" w:line="264"/>
            </w:pPr>
            <w:r>
              <w:rPr>
                <w:color w:val="1A1A1A"/>
                <w:sz w:val="17"/>
                <w:szCs w:val="17"/>
              </w:rPr>
              <w:t xml:space="preserve">Plant controller</w:t>
            </w:r>
          </w:p>
        </w:tc>
        <w:tc>
          <w:tcPr>
            <w:tcW w:type="dxa" w:w="2889"/>
            <w:shd w:fill="F2F5F7" w:color="auto" w:val="clear"/>
            <w:tcMar>
              <w:top w:type="dxa" w:w="90"/>
              <w:left w:type="dxa" w:w="120"/>
              <w:bottom w:type="dxa" w:w="90"/>
              <w:right w:type="dxa" w:w="120"/>
            </w:tcMar>
          </w:tcPr>
          <w:p>
            <w:pPr>
              <w:spacing w:after="0" w:line="264"/>
            </w:pPr>
            <w:r>
              <w:rPr>
                <w:color w:val="1A1A1A"/>
                <w:sz w:val="17"/>
                <w:szCs w:val="17"/>
              </w:rPr>
              <w:t xml:space="preserve">EnOS PPC</w:t>
            </w:r>
          </w:p>
        </w:tc>
        <w:tc>
          <w:tcPr>
            <w:tcW w:type="dxa" w:w="4333"/>
            <w:shd w:fill="F2F5F7" w:color="auto" w:val="clear"/>
            <w:tcMar>
              <w:top w:type="dxa" w:w="90"/>
              <w:left w:type="dxa" w:w="120"/>
              <w:bottom w:type="dxa" w:w="90"/>
              <w:right w:type="dxa" w:w="120"/>
            </w:tcMar>
          </w:tcPr>
          <w:p>
            <w:pPr>
              <w:spacing w:after="0" w:line="264"/>
            </w:pPr>
            <w:r>
              <w:rPr>
                <w:color w:val="1A1A1A"/>
                <w:sz w:val="17"/>
                <w:szCs w:val="17"/>
              </w:rPr>
              <w:t xml:space="preserve">Per the filled Volume 2 GTP.</w:t>
            </w:r>
          </w:p>
        </w:tc>
      </w:tr>
      <w:tr>
        <w:tc>
          <w:tcPr>
            <w:tcW w:type="dxa" w:w="1806"/>
            <w:shd w:fill="FFFFFF" w:color="auto" w:val="clear"/>
            <w:tcMar>
              <w:top w:type="dxa" w:w="90"/>
              <w:left w:type="dxa" w:w="120"/>
              <w:bottom w:type="dxa" w:w="90"/>
              <w:right w:type="dxa" w:w="120"/>
            </w:tcMar>
          </w:tcPr>
          <w:p>
            <w:pPr>
              <w:spacing w:after="0" w:line="264"/>
            </w:pPr>
            <w:r>
              <w:rPr>
                <w:color w:val="1A1A1A"/>
                <w:sz w:val="17"/>
                <w:szCs w:val="17"/>
              </w:rPr>
              <w:t xml:space="preserve">SCADA gateway</w:t>
            </w:r>
          </w:p>
        </w:tc>
        <w:tc>
          <w:tcPr>
            <w:tcW w:type="dxa" w:w="2889"/>
            <w:shd w:fill="FFFFFF" w:color="auto" w:val="clear"/>
            <w:tcMar>
              <w:top w:type="dxa" w:w="90"/>
              <w:left w:type="dxa" w:w="120"/>
              <w:bottom w:type="dxa" w:w="90"/>
              <w:right w:type="dxa" w:w="120"/>
            </w:tcMar>
          </w:tcPr>
          <w:p>
            <w:pPr>
              <w:spacing w:after="0" w:line="264"/>
            </w:pPr>
            <w:r>
              <w:rPr>
                <w:color w:val="C00000"/>
                <w:sz w:val="17"/>
                <w:szCs w:val="17"/>
              </w:rPr>
              <w:t xml:space="preserve">To be confirmed by Envision</w:t>
            </w:r>
          </w:p>
        </w:tc>
        <w:tc>
          <w:tcPr>
            <w:tcW w:type="dxa" w:w="4333"/>
            <w:shd w:fill="FFFFFF" w:color="auto" w:val="clear"/>
            <w:tcMar>
              <w:top w:type="dxa" w:w="90"/>
              <w:left w:type="dxa" w:w="120"/>
              <w:bottom w:type="dxa" w:w="90"/>
              <w:right w:type="dxa" w:w="120"/>
            </w:tcMar>
          </w:tcPr>
          <w:p>
            <w:pPr>
              <w:spacing w:after="0" w:line="264"/>
            </w:pPr>
            <w:r>
              <w:rPr>
                <w:color w:val="C00000"/>
                <w:sz w:val="17"/>
                <w:szCs w:val="17"/>
              </w:rPr>
              <w:t xml:space="preserve">Addendum No. 01 item 09 requires simultaneous real-time reporting to a minimum of FOUR SCADA master servers - two at the National System Control Centre and two at the Backup NSCC - reportable to any one, any combination or all four, without interrupting existing links and without additional hardware, software, configuration changes or licences. Clarification 27 confirms a gateway is required even where the PPC itself supports IEC 104. Envision to name the gateway product and state its concurrent-session limit and licensing position.</w:t>
            </w:r>
          </w:p>
        </w:tc>
      </w:tr>
    </w:tbl>
    <w:p>
      <w:pPr>
        <w:spacing w:after="120" w:line="276"/>
      </w:pPr>
      <w:r>
        <w:rPr>
          <w:i/>
          <w:iCs/>
          <w:color w:val="5A6472"/>
          <w:sz w:val="16"/>
          <w:szCs w:val="16"/>
        </w:rPr>
        <w:t xml:space="preserve">Source: Envision design calculations; filled Volume 2 GTP; 21 August evidence dossier; Addendum No. 01 item 09.</w:t>
      </w:r>
    </w:p>
    <w:p>
      <w:pPr>
        <w:pStyle w:val="Heading1"/>
        <w:spacing w:after="140" w:before="320"/>
      </w:pPr>
      <w:r>
        <w:rPr>
          <w:b/>
          <w:bCs/>
          <w:color w:val="123B5D"/>
          <w:sz w:val="26"/>
          <w:szCs w:val="26"/>
        </w:rPr>
        <w:t xml:space="preserve">4. Guaranteed performance schedule</w:t>
      </w:r>
    </w:p>
    <w:tbl>
      <w:tblPr>
        <w:tblW w:type="dxa" w:w="9028"/>
        <w:tblBorders>
          <w:top w:val="none" w:color="auto" w:sz="0"/>
          <w:left w:val="single" w:color="123B5D" w:sz="18"/>
          <w:bottom w:val="none" w:color="auto" w:sz="0"/>
          <w:right w:val="none" w:color="auto" w:sz="0"/>
          <w:insideH w:val="none" w:color="auto" w:sz="0"/>
          <w:insideV w:val="none" w:color="auto" w:sz="0"/>
        </w:tblBorders>
      </w:tblPr>
      <w:tblGrid>
        <w:gridCol w:w="9028"/>
      </w:tblGrid>
      <w:tr>
        <w:tc>
          <w:tcPr>
            <w:tcW w:type="dxa" w:w="9028"/>
            <w:shd w:fill="F2F5F7" w:color="auto" w:val="clear"/>
            <w:tcMar>
              <w:top w:type="dxa" w:w="140"/>
              <w:left w:type="dxa" w:w="180"/>
              <w:bottom w:type="dxa" w:w="140"/>
              <w:right w:type="dxa" w:w="180"/>
            </w:tcMar>
          </w:tcPr>
          <w:p>
            <w:pPr>
              <w:spacing w:after="0" w:line="264"/>
            </w:pPr>
            <w:r>
              <w:rPr>
                <w:b/>
                <w:bCs/>
                <w:color w:val="1A1A1A"/>
                <w:sz w:val="18"/>
                <w:szCs w:val="18"/>
              </w:rPr>
              <w:t xml:space="preserve">BLACK = sourced from a received document | RED = drafted gap-fill, unverified, for Envision to confirm or replace</w:t>
            </w:r>
          </w:p>
        </w:tc>
      </w:tr>
    </w:tbl>
    <w:p>
      <w:pPr>
        <w:spacing w:after="120" w:line="276"/>
      </w:pPr>
      <w:r>
        <w:t xml:space="preserve"/>
      </w:r>
    </w:p>
    <w:p>
      <w:pPr>
        <w:spacing w:after="120" w:line="276"/>
      </w:pPr>
      <w:r>
        <w:rPr>
          <w:color w:val="1A1A1A"/>
          <w:sz w:val="19"/>
          <w:szCs w:val="19"/>
        </w:rPr>
        <w:t xml:space="preserve">Values are stated at the revenue metering point. Clarification 51 confirms that auxiliary and HVAC loads directly associated with BESS operation are inside the round-trip efficiency calculation, and that general site loads such as CCTV, security and lighting are outside it. Clarification 40 refused a measurement-error tolerance, so no tolerance is claimed below.</w:t>
      </w:r>
    </w:p>
    <w:tbl>
      <w:tblPr>
        <w:tblW w:type="dxa" w:w="9028"/>
        <w:tblBorders>
          <w:top w:val="single" w:color="C9D2DA" w:sz="6"/>
          <w:left w:val="none" w:color="auto" w:sz="0"/>
          <w:bottom w:val="single" w:color="C9D2DA" w:sz="6"/>
          <w:right w:val="none" w:color="auto" w:sz="0"/>
          <w:insideH w:val="single" w:color="C9D2DA" w:sz="4"/>
          <w:insideV w:val="none" w:color="auto" w:sz="0"/>
        </w:tblBorders>
      </w:tblPr>
      <w:tblGrid>
        <w:gridCol w:w="1806"/>
        <w:gridCol w:w="2889"/>
        <w:gridCol w:w="4333"/>
      </w:tblGrid>
      <w:tr>
        <w:trPr>
          <w:tblHeader/>
        </w:trPr>
        <w:tc>
          <w:tcPr>
            <w:tcW w:type="dxa" w:w="1806"/>
            <w:shd w:fill="123B5D" w:color="auto" w:val="clear"/>
            <w:tcMar>
              <w:top w:type="dxa" w:w="90"/>
              <w:left w:type="dxa" w:w="120"/>
              <w:bottom w:type="dxa" w:w="90"/>
              <w:right w:type="dxa" w:w="120"/>
            </w:tcMar>
          </w:tcPr>
          <w:p>
            <w:pPr>
              <w:spacing w:after="0"/>
            </w:pPr>
            <w:r>
              <w:rPr>
                <w:b/>
                <w:bCs/>
                <w:color w:val="FFFFFF"/>
                <w:sz w:val="17"/>
                <w:szCs w:val="17"/>
              </w:rPr>
              <w:t xml:space="preserve">Guaranteed parameter</w:t>
            </w:r>
          </w:p>
        </w:tc>
        <w:tc>
          <w:tcPr>
            <w:tcW w:type="dxa" w:w="2889"/>
            <w:shd w:fill="123B5D" w:color="auto" w:val="clear"/>
            <w:tcMar>
              <w:top w:type="dxa" w:w="90"/>
              <w:left w:type="dxa" w:w="120"/>
              <w:bottom w:type="dxa" w:w="90"/>
              <w:right w:type="dxa" w:w="120"/>
            </w:tcMar>
          </w:tcPr>
          <w:p>
            <w:pPr>
              <w:spacing w:after="0"/>
            </w:pPr>
            <w:r>
              <w:rPr>
                <w:b/>
                <w:bCs/>
                <w:color w:val="FFFFFF"/>
                <w:sz w:val="17"/>
                <w:szCs w:val="17"/>
              </w:rPr>
              <w:t xml:space="preserve">Basis</w:t>
            </w:r>
          </w:p>
        </w:tc>
        <w:tc>
          <w:tcPr>
            <w:tcW w:type="dxa" w:w="4333"/>
            <w:shd w:fill="123B5D" w:color="auto" w:val="clear"/>
            <w:tcMar>
              <w:top w:type="dxa" w:w="90"/>
              <w:left w:type="dxa" w:w="120"/>
              <w:bottom w:type="dxa" w:w="90"/>
              <w:right w:type="dxa" w:w="120"/>
            </w:tcMar>
          </w:tcPr>
          <w:p>
            <w:pPr>
              <w:spacing w:after="0"/>
            </w:pPr>
            <w:r>
              <w:rPr>
                <w:b/>
                <w:bCs/>
                <w:color w:val="FFFFFF"/>
                <w:sz w:val="17"/>
                <w:szCs w:val="17"/>
              </w:rPr>
              <w:t xml:space="preserve">Guaranteed value</w:t>
            </w:r>
          </w:p>
        </w:tc>
      </w:tr>
      <w:tr>
        <w:tc>
          <w:tcPr>
            <w:tcW w:type="dxa" w:w="1806"/>
            <w:shd w:fill="FFFFFF" w:color="auto" w:val="clear"/>
            <w:tcMar>
              <w:top w:type="dxa" w:w="90"/>
              <w:left w:type="dxa" w:w="120"/>
              <w:bottom w:type="dxa" w:w="90"/>
              <w:right w:type="dxa" w:w="120"/>
            </w:tcMar>
          </w:tcPr>
          <w:p>
            <w:pPr>
              <w:spacing w:after="0" w:line="264"/>
            </w:pPr>
            <w:r>
              <w:rPr>
                <w:color w:val="1A1A1A"/>
                <w:sz w:val="17"/>
                <w:szCs w:val="17"/>
              </w:rPr>
              <w:t xml:space="preserve">Usable energy at BoL</w:t>
            </w:r>
          </w:p>
        </w:tc>
        <w:tc>
          <w:tcPr>
            <w:tcW w:type="dxa" w:w="2889"/>
            <w:shd w:fill="FFFFFF" w:color="auto" w:val="clear"/>
            <w:tcMar>
              <w:top w:type="dxa" w:w="90"/>
              <w:left w:type="dxa" w:w="120"/>
              <w:bottom w:type="dxa" w:w="90"/>
              <w:right w:type="dxa" w:w="120"/>
            </w:tcMar>
          </w:tcPr>
          <w:p>
            <w:pPr>
              <w:spacing w:after="0" w:line="264"/>
            </w:pPr>
            <w:r>
              <w:rPr>
                <w:color w:val="1A1A1A"/>
                <w:sz w:val="17"/>
                <w:szCs w:val="17"/>
              </w:rPr>
              <w:t xml:space="preserve">At the metering point, 0.25P discharge</w:t>
            </w:r>
          </w:p>
        </w:tc>
        <w:tc>
          <w:tcPr>
            <w:tcW w:type="dxa" w:w="4333"/>
            <w:shd w:fill="FFFFFF" w:color="auto" w:val="clear"/>
            <w:tcMar>
              <w:top w:type="dxa" w:w="90"/>
              <w:left w:type="dxa" w:w="120"/>
              <w:bottom w:type="dxa" w:w="90"/>
              <w:right w:type="dxa" w:w="120"/>
            </w:tcMar>
          </w:tcPr>
          <w:p>
            <w:pPr>
              <w:spacing w:after="0" w:line="264"/>
            </w:pPr>
            <w:r>
              <w:rPr>
                <w:color w:val="1A1A1A"/>
                <w:sz w:val="17"/>
                <w:szCs w:val="17"/>
              </w:rPr>
              <w:t xml:space="preserve">43.9 MWh installed; 40.0 MWh guaranteed at the Declared Capacity</w:t>
            </w:r>
          </w:p>
        </w:tc>
      </w:tr>
      <w:tr>
        <w:tc>
          <w:tcPr>
            <w:tcW w:type="dxa" w:w="1806"/>
            <w:shd w:fill="F2F5F7" w:color="auto" w:val="clear"/>
            <w:tcMar>
              <w:top w:type="dxa" w:w="90"/>
              <w:left w:type="dxa" w:w="120"/>
              <w:bottom w:type="dxa" w:w="90"/>
              <w:right w:type="dxa" w:w="120"/>
            </w:tcMar>
          </w:tcPr>
          <w:p>
            <w:pPr>
              <w:spacing w:after="0" w:line="264"/>
            </w:pPr>
            <w:r>
              <w:rPr>
                <w:color w:val="1A1A1A"/>
                <w:sz w:val="17"/>
                <w:szCs w:val="17"/>
              </w:rPr>
              <w:t xml:space="preserve">Discharge duration at rated output</w:t>
            </w:r>
          </w:p>
        </w:tc>
        <w:tc>
          <w:tcPr>
            <w:tcW w:type="dxa" w:w="2889"/>
            <w:shd w:fill="F2F5F7" w:color="auto" w:val="clear"/>
            <w:tcMar>
              <w:top w:type="dxa" w:w="90"/>
              <w:left w:type="dxa" w:w="120"/>
              <w:bottom w:type="dxa" w:w="90"/>
              <w:right w:type="dxa" w:w="120"/>
            </w:tcMar>
          </w:tcPr>
          <w:p>
            <w:pPr>
              <w:spacing w:after="0" w:line="264"/>
            </w:pPr>
            <w:r>
              <w:rPr>
                <w:color w:val="1A1A1A"/>
                <w:sz w:val="17"/>
                <w:szCs w:val="17"/>
              </w:rPr>
              <w:t xml:space="preserve">Volume I §3.1(k), at site ambient</w:t>
            </w:r>
          </w:p>
        </w:tc>
        <w:tc>
          <w:tcPr>
            <w:tcW w:type="dxa" w:w="4333"/>
            <w:shd w:fill="F2F5F7" w:color="auto" w:val="clear"/>
            <w:tcMar>
              <w:top w:type="dxa" w:w="90"/>
              <w:left w:type="dxa" w:w="120"/>
              <w:bottom w:type="dxa" w:w="90"/>
              <w:right w:type="dxa" w:w="120"/>
            </w:tcMar>
          </w:tcPr>
          <w:p>
            <w:pPr>
              <w:spacing w:after="0" w:line="264"/>
            </w:pPr>
            <w:r>
              <w:rPr>
                <w:color w:val="C00000"/>
                <w:sz w:val="17"/>
                <w:szCs w:val="17"/>
              </w:rPr>
              <w:t xml:space="preserve">4.0 hours at 10 MW at +45 C ambient - Envision to confirm on the thermal case at section 5</w:t>
            </w:r>
          </w:p>
        </w:tc>
      </w:tr>
      <w:tr>
        <w:tc>
          <w:tcPr>
            <w:tcW w:type="dxa" w:w="1806"/>
            <w:shd w:fill="FFFFFF" w:color="auto" w:val="clear"/>
            <w:tcMar>
              <w:top w:type="dxa" w:w="90"/>
              <w:left w:type="dxa" w:w="120"/>
              <w:bottom w:type="dxa" w:w="90"/>
              <w:right w:type="dxa" w:w="120"/>
            </w:tcMar>
          </w:tcPr>
          <w:p>
            <w:pPr>
              <w:spacing w:after="0" w:line="264"/>
            </w:pPr>
            <w:r>
              <w:rPr>
                <w:color w:val="1A1A1A"/>
                <w:sz w:val="17"/>
                <w:szCs w:val="17"/>
              </w:rPr>
              <w:t xml:space="preserve">Round-trip efficiency, BoL</w:t>
            </w:r>
          </w:p>
        </w:tc>
        <w:tc>
          <w:tcPr>
            <w:tcW w:type="dxa" w:w="2889"/>
            <w:shd w:fill="FFFFFF" w:color="auto" w:val="clear"/>
            <w:tcMar>
              <w:top w:type="dxa" w:w="90"/>
              <w:left w:type="dxa" w:w="120"/>
              <w:bottom w:type="dxa" w:w="90"/>
              <w:right w:type="dxa" w:w="120"/>
            </w:tcMar>
          </w:tcPr>
          <w:p>
            <w:pPr>
              <w:spacing w:after="0" w:line="264"/>
            </w:pPr>
            <w:r>
              <w:rPr>
                <w:color w:val="1A1A1A"/>
                <w:sz w:val="17"/>
                <w:szCs w:val="17"/>
              </w:rPr>
              <w:t xml:space="preserve">AC-to-AC, auxiliary-inclusive, monthly</w:t>
            </w:r>
          </w:p>
        </w:tc>
        <w:tc>
          <w:tcPr>
            <w:tcW w:type="dxa" w:w="4333"/>
            <w:shd w:fill="FFFFFF" w:color="auto" w:val="clear"/>
            <w:tcMar>
              <w:top w:type="dxa" w:w="90"/>
              <w:left w:type="dxa" w:w="120"/>
              <w:bottom w:type="dxa" w:w="90"/>
              <w:right w:type="dxa" w:w="120"/>
            </w:tcMar>
          </w:tcPr>
          <w:p>
            <w:pPr>
              <w:spacing w:after="0" w:line="264"/>
            </w:pPr>
            <w:r>
              <w:rPr>
                <w:color w:val="1A1A1A"/>
                <w:sz w:val="17"/>
                <w:szCs w:val="17"/>
              </w:rPr>
              <w:t xml:space="preserve">86.9 %</w:t>
            </w:r>
          </w:p>
        </w:tc>
      </w:tr>
      <w:tr>
        <w:tc>
          <w:tcPr>
            <w:tcW w:type="dxa" w:w="1806"/>
            <w:shd w:fill="FBEFEF" w:color="auto" w:val="clear"/>
            <w:tcMar>
              <w:top w:type="dxa" w:w="90"/>
              <w:left w:type="dxa" w:w="120"/>
              <w:bottom w:type="dxa" w:w="90"/>
              <w:right w:type="dxa" w:w="120"/>
            </w:tcMar>
          </w:tcPr>
          <w:p>
            <w:pPr>
              <w:spacing w:after="0" w:line="264"/>
            </w:pPr>
            <w:r>
              <w:rPr>
                <w:color w:val="1A1A1A"/>
                <w:sz w:val="17"/>
                <w:szCs w:val="17"/>
              </w:rPr>
              <w:t xml:space="preserve">Round-trip efficiency, year 15</w:t>
            </w:r>
          </w:p>
        </w:tc>
        <w:tc>
          <w:tcPr>
            <w:tcW w:type="dxa" w:w="2889"/>
            <w:shd w:fill="FBEFEF" w:color="auto" w:val="clear"/>
            <w:tcMar>
              <w:top w:type="dxa" w:w="90"/>
              <w:left w:type="dxa" w:w="120"/>
              <w:bottom w:type="dxa" w:w="90"/>
              <w:right w:type="dxa" w:w="120"/>
            </w:tcMar>
          </w:tcPr>
          <w:p>
            <w:pPr>
              <w:spacing w:after="0" w:line="264"/>
            </w:pPr>
            <w:r>
              <w:rPr>
                <w:color w:val="1A1A1A"/>
                <w:sz w:val="17"/>
                <w:szCs w:val="17"/>
              </w:rPr>
              <w:t xml:space="preserve">AC-to-AC, auxiliary-inclusive, monthly</w:t>
            </w:r>
          </w:p>
        </w:tc>
        <w:tc>
          <w:tcPr>
            <w:tcW w:type="dxa" w:w="4333"/>
            <w:shd w:fill="FBEFEF" w:color="auto" w:val="clear"/>
            <w:tcMar>
              <w:top w:type="dxa" w:w="90"/>
              <w:left w:type="dxa" w:w="120"/>
              <w:bottom w:type="dxa" w:w="90"/>
              <w:right w:type="dxa" w:w="120"/>
            </w:tcMar>
          </w:tcPr>
          <w:p>
            <w:pPr>
              <w:spacing w:after="0" w:line="264"/>
            </w:pPr>
            <w:r>
              <w:rPr>
                <w:color w:val="1A1A1A"/>
                <w:sz w:val="17"/>
                <w:szCs w:val="17"/>
              </w:rPr>
              <w:t xml:space="preserve">85.0 % declared; </w:t>
            </w:r>
            <w:r>
              <w:rPr>
                <w:color w:val="C00000"/>
                <w:sz w:val="17"/>
                <w:szCs w:val="17"/>
              </w:rPr>
              <w:t xml:space="preserve">target 85.6 % on the oversized build, Envision to re-rate</w:t>
            </w:r>
          </w:p>
        </w:tc>
      </w:tr>
      <w:tr>
        <w:tc>
          <w:tcPr>
            <w:tcW w:type="dxa" w:w="1806"/>
            <w:shd w:fill="FFFFFF" w:color="auto" w:val="clear"/>
            <w:tcMar>
              <w:top w:type="dxa" w:w="90"/>
              <w:left w:type="dxa" w:w="120"/>
              <w:bottom w:type="dxa" w:w="90"/>
              <w:right w:type="dxa" w:w="120"/>
            </w:tcMar>
          </w:tcPr>
          <w:p>
            <w:pPr>
              <w:spacing w:after="0" w:line="264"/>
            </w:pPr>
            <w:r>
              <w:rPr>
                <w:color w:val="1A1A1A"/>
                <w:sz w:val="17"/>
                <w:szCs w:val="17"/>
              </w:rPr>
              <w:t xml:space="preserve">State of health, year 15</w:t>
            </w:r>
          </w:p>
        </w:tc>
        <w:tc>
          <w:tcPr>
            <w:tcW w:type="dxa" w:w="2889"/>
            <w:shd w:fill="FFFFFF" w:color="auto" w:val="clear"/>
            <w:tcMar>
              <w:top w:type="dxa" w:w="90"/>
              <w:left w:type="dxa" w:w="120"/>
              <w:bottom w:type="dxa" w:w="90"/>
              <w:right w:type="dxa" w:w="120"/>
            </w:tcMar>
          </w:tcPr>
          <w:p>
            <w:pPr>
              <w:spacing w:after="0" w:line="264"/>
            </w:pPr>
            <w:r>
              <w:rPr>
                <w:color w:val="1A1A1A"/>
                <w:sz w:val="17"/>
                <w:szCs w:val="17"/>
              </w:rPr>
              <w:t xml:space="preserve">Against the 68 % MDSC floor</w:t>
            </w:r>
          </w:p>
        </w:tc>
        <w:tc>
          <w:tcPr>
            <w:tcW w:type="dxa" w:w="4333"/>
            <w:shd w:fill="FFFFFF" w:color="auto" w:val="clear"/>
            <w:tcMar>
              <w:top w:type="dxa" w:w="90"/>
              <w:left w:type="dxa" w:w="120"/>
              <w:bottom w:type="dxa" w:w="90"/>
              <w:right w:type="dxa" w:w="120"/>
            </w:tcMar>
          </w:tcPr>
          <w:p>
            <w:pPr>
              <w:spacing w:after="0" w:line="264"/>
            </w:pPr>
            <w:r>
              <w:rPr>
                <w:color w:val="1A1A1A"/>
                <w:sz w:val="17"/>
                <w:szCs w:val="17"/>
              </w:rPr>
              <w:t xml:space="preserve">76.7 % on the 10 MW curve; </w:t>
            </w:r>
            <w:r>
              <w:rPr>
                <w:color w:val="C00000"/>
                <w:sz w:val="17"/>
                <w:szCs w:val="17"/>
              </w:rPr>
              <w:t xml:space="preserve">Envision to issue the equivalent curve on the 44 MWh base</w:t>
            </w:r>
          </w:p>
        </w:tc>
      </w:tr>
      <w:tr>
        <w:tc>
          <w:tcPr>
            <w:tcW w:type="dxa" w:w="1806"/>
            <w:shd w:fill="F2F5F7" w:color="auto" w:val="clear"/>
            <w:tcMar>
              <w:top w:type="dxa" w:w="90"/>
              <w:left w:type="dxa" w:w="120"/>
              <w:bottom w:type="dxa" w:w="90"/>
              <w:right w:type="dxa" w:w="120"/>
            </w:tcMar>
          </w:tcPr>
          <w:p>
            <w:pPr>
              <w:spacing w:after="0" w:line="264"/>
            </w:pPr>
            <w:r>
              <w:rPr>
                <w:color w:val="1A1A1A"/>
                <w:sz w:val="17"/>
                <w:szCs w:val="17"/>
              </w:rPr>
              <w:t xml:space="preserve">Reactive capability at the PCC</w:t>
            </w:r>
          </w:p>
        </w:tc>
        <w:tc>
          <w:tcPr>
            <w:tcW w:type="dxa" w:w="2889"/>
            <w:shd w:fill="F2F5F7" w:color="auto" w:val="clear"/>
            <w:tcMar>
              <w:top w:type="dxa" w:w="90"/>
              <w:left w:type="dxa" w:w="120"/>
              <w:bottom w:type="dxa" w:w="90"/>
              <w:right w:type="dxa" w:w="120"/>
            </w:tcMar>
          </w:tcPr>
          <w:p>
            <w:pPr>
              <w:spacing w:after="0" w:line="264"/>
            </w:pPr>
            <w:r>
              <w:rPr>
                <w:color w:val="1A1A1A"/>
                <w:sz w:val="17"/>
                <w:szCs w:val="17"/>
              </w:rPr>
              <w:t xml:space="preserve">Clarification 24: +/-0.3 x rated active power</w:t>
            </w:r>
          </w:p>
        </w:tc>
        <w:tc>
          <w:tcPr>
            <w:tcW w:type="dxa" w:w="4333"/>
            <w:shd w:fill="F2F5F7" w:color="auto" w:val="clear"/>
            <w:tcMar>
              <w:top w:type="dxa" w:w="90"/>
              <w:left w:type="dxa" w:w="120"/>
              <w:bottom w:type="dxa" w:w="90"/>
              <w:right w:type="dxa" w:w="120"/>
            </w:tcMar>
          </w:tcPr>
          <w:p>
            <w:pPr>
              <w:spacing w:after="0" w:line="264"/>
            </w:pPr>
            <w:r>
              <w:rPr>
                <w:color w:val="1A1A1A"/>
                <w:sz w:val="17"/>
                <w:szCs w:val="17"/>
              </w:rPr>
              <w:t xml:space="preserve">+/-3.62 Mvar at power factor +/-0.95 (11 MW / 44 MWh design calculation), against +/-3.0 Mvar required at a declared 10 MW and +/-3.3 Mvar at a declared 11 MW. Complies on either basis.</w:t>
            </w:r>
          </w:p>
        </w:tc>
      </w:tr>
      <w:tr>
        <w:tc>
          <w:tcPr>
            <w:tcW w:type="dxa" w:w="1806"/>
            <w:shd w:fill="FFFFFF" w:color="auto" w:val="clear"/>
            <w:tcMar>
              <w:top w:type="dxa" w:w="90"/>
              <w:left w:type="dxa" w:w="120"/>
              <w:bottom w:type="dxa" w:w="90"/>
              <w:right w:type="dxa" w:w="120"/>
            </w:tcMar>
          </w:tcPr>
          <w:p>
            <w:pPr>
              <w:spacing w:after="0" w:line="264"/>
            </w:pPr>
            <w:r>
              <w:rPr>
                <w:color w:val="1A1A1A"/>
                <w:sz w:val="17"/>
                <w:szCs w:val="17"/>
              </w:rPr>
              <w:t xml:space="preserve">Availability</w:t>
            </w:r>
          </w:p>
        </w:tc>
        <w:tc>
          <w:tcPr>
            <w:tcW w:type="dxa" w:w="2889"/>
            <w:shd w:fill="FFFFFF" w:color="auto" w:val="clear"/>
            <w:tcMar>
              <w:top w:type="dxa" w:w="90"/>
              <w:left w:type="dxa" w:w="120"/>
              <w:bottom w:type="dxa" w:w="90"/>
              <w:right w:type="dxa" w:w="120"/>
            </w:tcMar>
          </w:tcPr>
          <w:p>
            <w:pPr>
              <w:spacing w:after="0" w:line="264"/>
            </w:pPr>
            <w:r>
              <w:rPr>
                <w:color w:val="1A1A1A"/>
                <w:sz w:val="17"/>
                <w:szCs w:val="17"/>
              </w:rPr>
              <w:t xml:space="preserve">ESA, monthly</w:t>
            </w:r>
          </w:p>
        </w:tc>
        <w:tc>
          <w:tcPr>
            <w:tcW w:type="dxa" w:w="4333"/>
            <w:shd w:fill="FFFFFF" w:color="auto" w:val="clear"/>
            <w:tcMar>
              <w:top w:type="dxa" w:w="90"/>
              <w:left w:type="dxa" w:w="120"/>
              <w:bottom w:type="dxa" w:w="90"/>
              <w:right w:type="dxa" w:w="120"/>
            </w:tcMar>
          </w:tcPr>
          <w:p>
            <w:pPr>
              <w:spacing w:after="0" w:line="264"/>
            </w:pPr>
            <w:r>
              <w:rPr>
                <w:color w:val="C00000"/>
                <w:sz w:val="17"/>
                <w:szCs w:val="17"/>
              </w:rPr>
              <w:t xml:space="preserve">97.0 % monthly, guaranteed back-to-back. Envision to supply the reliability block diagram, component failure rates, MTTR and spares holding that support it - see section 11.</w:t>
            </w:r>
          </w:p>
        </w:tc>
      </w:tr>
      <w:tr>
        <w:tc>
          <w:tcPr>
            <w:tcW w:type="dxa" w:w="1806"/>
            <w:shd w:fill="F2F5F7" w:color="auto" w:val="clear"/>
            <w:tcMar>
              <w:top w:type="dxa" w:w="90"/>
              <w:left w:type="dxa" w:w="120"/>
              <w:bottom w:type="dxa" w:w="90"/>
              <w:right w:type="dxa" w:w="120"/>
            </w:tcMar>
          </w:tcPr>
          <w:p>
            <w:pPr>
              <w:spacing w:after="0" w:line="264"/>
            </w:pPr>
            <w:r>
              <w:rPr>
                <w:color w:val="1A1A1A"/>
                <w:sz w:val="17"/>
                <w:szCs w:val="17"/>
              </w:rPr>
              <w:t xml:space="preserve">Cycle allowance</w:t>
            </w:r>
          </w:p>
        </w:tc>
        <w:tc>
          <w:tcPr>
            <w:tcW w:type="dxa" w:w="2889"/>
            <w:shd w:fill="F2F5F7" w:color="auto" w:val="clear"/>
            <w:tcMar>
              <w:top w:type="dxa" w:w="90"/>
              <w:left w:type="dxa" w:w="120"/>
              <w:bottom w:type="dxa" w:w="90"/>
              <w:right w:type="dxa" w:w="120"/>
            </w:tcMar>
          </w:tcPr>
          <w:p>
            <w:pPr>
              <w:spacing w:after="0" w:line="264"/>
            </w:pPr>
            <w:r>
              <w:rPr>
                <w:color w:val="1A1A1A"/>
                <w:sz w:val="17"/>
                <w:szCs w:val="17"/>
              </w:rPr>
              <w:t xml:space="preserve">400 full equivalent cycles per year, floor 20 per month</w:t>
            </w:r>
          </w:p>
        </w:tc>
        <w:tc>
          <w:tcPr>
            <w:tcW w:type="dxa" w:w="4333"/>
            <w:shd w:fill="F2F5F7" w:color="auto" w:val="clear"/>
            <w:tcMar>
              <w:top w:type="dxa" w:w="90"/>
              <w:left w:type="dxa" w:w="120"/>
              <w:bottom w:type="dxa" w:w="90"/>
              <w:right w:type="dxa" w:w="120"/>
            </w:tcMar>
          </w:tcPr>
          <w:p>
            <w:pPr>
              <w:spacing w:after="0" w:line="264"/>
            </w:pPr>
            <w:r>
              <w:rPr>
                <w:color w:val="1A1A1A"/>
                <w:sz w:val="17"/>
                <w:szCs w:val="17"/>
              </w:rPr>
              <w:t xml:space="preserve">Cell rated 7300 EFC at 100 % DoD, 9125 at 80 %, 14600 at 50 % (filled GTP)</w:t>
            </w:r>
          </w:p>
        </w:tc>
      </w:tr>
      <w:tr>
        <w:tc>
          <w:tcPr>
            <w:tcW w:type="dxa" w:w="1806"/>
            <w:shd w:fill="FFFFFF" w:color="auto" w:val="clear"/>
            <w:tcMar>
              <w:top w:type="dxa" w:w="90"/>
              <w:left w:type="dxa" w:w="120"/>
              <w:bottom w:type="dxa" w:w="90"/>
              <w:right w:type="dxa" w:w="120"/>
            </w:tcMar>
          </w:tcPr>
          <w:p>
            <w:pPr>
              <w:spacing w:after="0" w:line="264"/>
            </w:pPr>
            <w:r>
              <w:rPr>
                <w:color w:val="1A1A1A"/>
                <w:sz w:val="17"/>
                <w:szCs w:val="17"/>
              </w:rPr>
              <w:t xml:space="preserve">Self-discharge</w:t>
            </w:r>
          </w:p>
        </w:tc>
        <w:tc>
          <w:tcPr>
            <w:tcW w:type="dxa" w:w="2889"/>
            <w:shd w:fill="FFFFFF" w:color="auto" w:val="clear"/>
            <w:tcMar>
              <w:top w:type="dxa" w:w="90"/>
              <w:left w:type="dxa" w:w="120"/>
              <w:bottom w:type="dxa" w:w="90"/>
              <w:right w:type="dxa" w:w="120"/>
            </w:tcMar>
          </w:tcPr>
          <w:p>
            <w:pPr>
              <w:spacing w:after="0" w:line="264"/>
            </w:pPr>
            <w:r>
              <w:rPr>
                <w:color w:val="1A1A1A"/>
                <w:sz w:val="17"/>
                <w:szCs w:val="17"/>
              </w:rPr>
              <w:t xml:space="preserve">Filled Volume 2 GTP</w:t>
            </w:r>
          </w:p>
        </w:tc>
        <w:tc>
          <w:tcPr>
            <w:tcW w:type="dxa" w:w="4333"/>
            <w:shd w:fill="FFFFFF" w:color="auto" w:val="clear"/>
            <w:tcMar>
              <w:top w:type="dxa" w:w="90"/>
              <w:left w:type="dxa" w:w="120"/>
              <w:bottom w:type="dxa" w:w="90"/>
              <w:right w:type="dxa" w:w="120"/>
            </w:tcMar>
          </w:tcPr>
          <w:p>
            <w:pPr>
              <w:spacing w:after="0" w:line="264"/>
            </w:pPr>
            <w:r>
              <w:rPr>
                <w:color w:val="1A1A1A"/>
                <w:sz w:val="17"/>
                <w:szCs w:val="17"/>
              </w:rPr>
              <w:t xml:space="preserve">At most 3 % per month</w:t>
            </w:r>
          </w:p>
        </w:tc>
      </w:tr>
      <w:tr>
        <w:tc>
          <w:tcPr>
            <w:tcW w:type="dxa" w:w="1806"/>
            <w:shd w:fill="FBEFEF" w:color="auto" w:val="clear"/>
            <w:tcMar>
              <w:top w:type="dxa" w:w="90"/>
              <w:left w:type="dxa" w:w="120"/>
              <w:bottom w:type="dxa" w:w="90"/>
              <w:right w:type="dxa" w:w="120"/>
            </w:tcMar>
          </w:tcPr>
          <w:p>
            <w:pPr>
              <w:spacing w:after="0" w:line="264"/>
            </w:pPr>
            <w:r>
              <w:rPr>
                <w:color w:val="1A1A1A"/>
                <w:sz w:val="17"/>
                <w:szCs w:val="17"/>
              </w:rPr>
              <w:t xml:space="preserve">Auxiliary load</w:t>
            </w:r>
          </w:p>
        </w:tc>
        <w:tc>
          <w:tcPr>
            <w:tcW w:type="dxa" w:w="2889"/>
            <w:shd w:fill="FBEFEF" w:color="auto" w:val="clear"/>
            <w:tcMar>
              <w:top w:type="dxa" w:w="90"/>
              <w:left w:type="dxa" w:w="120"/>
              <w:bottom w:type="dxa" w:w="90"/>
              <w:right w:type="dxa" w:w="120"/>
            </w:tcMar>
          </w:tcPr>
          <w:p>
            <w:pPr>
              <w:spacing w:after="0" w:line="264"/>
            </w:pPr>
            <w:r>
              <w:rPr>
                <w:color w:val="1A1A1A"/>
                <w:sz w:val="17"/>
                <w:szCs w:val="17"/>
              </w:rPr>
              <w:t xml:space="preserve">At BoL, 4-hour discharge</w:t>
            </w:r>
          </w:p>
        </w:tc>
        <w:tc>
          <w:tcPr>
            <w:tcW w:type="dxa" w:w="4333"/>
            <w:shd w:fill="FBEFEF" w:color="auto" w:val="clear"/>
            <w:tcMar>
              <w:top w:type="dxa" w:w="90"/>
              <w:left w:type="dxa" w:w="120"/>
              <w:bottom w:type="dxa" w:w="90"/>
              <w:right w:type="dxa" w:w="120"/>
            </w:tcMar>
          </w:tcPr>
          <w:p>
            <w:pPr>
              <w:spacing w:after="0" w:line="264"/>
            </w:pPr>
            <w:r>
              <w:rPr>
                <w:color w:val="1A1A1A"/>
                <w:sz w:val="17"/>
                <w:szCs w:val="17"/>
              </w:rPr>
              <w:t xml:space="preserve">0.17 MW at 35 C in the design calculation. Envision's auxiliary-consumption note supplied 27 August states 160 kW during charge/discharge and 58 kW in standby. </w:t>
            </w:r>
            <w:r>
              <w:rPr>
                <w:color w:val="C00000"/>
                <w:sz w:val="17"/>
                <w:szCs w:val="17"/>
              </w:rPr>
              <w:t xml:space="preserve">Neither figure states the ambient temperature it holds at, and none is given for +45 C. The standby figure now matters directly: clarification 31 places standby-regulation energy inside the RTE calculation, so 58 kW of standby draw is inside the guarantee. Envision to state both figures at +45 C.</w:t>
            </w:r>
          </w:p>
        </w:tc>
      </w:tr>
    </w:tbl>
    <w:p>
      <w:pPr>
        <w:spacing w:after="60" w:line="276"/>
      </w:pPr>
      <w:r>
        <w:rPr>
          <w:color w:val="5A6472"/>
          <w:sz w:val="16"/>
          <w:szCs w:val="16"/>
        </w:rPr>
        <w:t xml:space="preserve">Note 1. Clarification 5: a monthly RTE shortfall shall not be carried forward or reconciled against later months or the year end. Every month stands alone.</w:t>
      </w:r>
    </w:p>
    <w:p>
      <w:pPr>
        <w:spacing w:after="60" w:line="276"/>
      </w:pPr>
      <w:r>
        <w:rPr>
          <w:color w:val="5A6472"/>
          <w:sz w:val="16"/>
          <w:szCs w:val="16"/>
        </w:rPr>
        <w:t xml:space="preserve">Note 2. Clarification 31: energy lost to frequency or voltage regulation in standby, unscheduled by the grid, is counted in the RTE calculation.</w:t>
      </w:r>
    </w:p>
    <w:p>
      <w:pPr>
        <w:spacing w:after="60" w:line="276"/>
      </w:pPr>
      <w:r>
        <w:rPr>
          <w:color w:val="5A6472"/>
          <w:sz w:val="16"/>
          <w:szCs w:val="16"/>
        </w:rPr>
        <w:t xml:space="preserve">Note 3. Clarification 55(b): energy exchanged providing frequency response, synthetic inertia, oscillation damping and AGC is not excluded from the RTE calculation or from the 400-cycle allowance.</w:t>
      </w:r>
    </w:p>
    <w:p>
      <w:pPr>
        <w:spacing w:after="120" w:line="276"/>
      </w:pPr>
      <w:r>
        <w:rPr>
          <w:i/>
          <w:iCs/>
          <w:color w:val="5A6472"/>
          <w:sz w:val="16"/>
          <w:szCs w:val="16"/>
        </w:rPr>
        <w:t xml:space="preserve">Source: Envision design calculation 5 August 2026; filled Volume 2 GTP; clarification register items 5, 24, 31, 40, 51, 55.</w:t>
      </w:r>
    </w:p>
    <w:p>
      <w:pPr>
        <w:pStyle w:val="Heading1"/>
        <w:spacing w:after="140" w:before="320"/>
      </w:pPr>
      <w:r>
        <w:rPr>
          <w:b/>
          <w:bCs/>
          <w:color w:val="123B5D"/>
          <w:sz w:val="26"/>
          <w:szCs w:val="26"/>
        </w:rPr>
        <w:t xml:space="preserve">5. Loss stack and the +45 C guaranteed case</w:t>
      </w:r>
    </w:p>
    <w:tbl>
      <w:tblPr>
        <w:tblW w:type="dxa" w:w="9028"/>
        <w:tblBorders>
          <w:top w:val="none" w:color="auto" w:sz="0"/>
          <w:left w:val="single" w:color="123B5D" w:sz="18"/>
          <w:bottom w:val="none" w:color="auto" w:sz="0"/>
          <w:right w:val="none" w:color="auto" w:sz="0"/>
          <w:insideH w:val="none" w:color="auto" w:sz="0"/>
          <w:insideV w:val="none" w:color="auto" w:sz="0"/>
        </w:tblBorders>
      </w:tblPr>
      <w:tblGrid>
        <w:gridCol w:w="9028"/>
      </w:tblGrid>
      <w:tr>
        <w:tc>
          <w:tcPr>
            <w:tcW w:type="dxa" w:w="9028"/>
            <w:shd w:fill="F2F5F7" w:color="auto" w:val="clear"/>
            <w:tcMar>
              <w:top w:type="dxa" w:w="140"/>
              <w:left w:type="dxa" w:w="180"/>
              <w:bottom w:type="dxa" w:w="140"/>
              <w:right w:type="dxa" w:w="180"/>
            </w:tcMar>
          </w:tcPr>
          <w:p>
            <w:pPr>
              <w:spacing w:after="0" w:line="264"/>
            </w:pPr>
            <w:r>
              <w:rPr>
                <w:b/>
                <w:bCs/>
                <w:color w:val="1A1A1A"/>
                <w:sz w:val="18"/>
                <w:szCs w:val="18"/>
              </w:rPr>
              <w:t xml:space="preserve">BLACK = sourced from a received document | RED = drafted gap-fill, unverified, for Envision to confirm or replace</w:t>
            </w:r>
          </w:p>
        </w:tc>
      </w:tr>
    </w:tbl>
    <w:p>
      <w:pPr>
        <w:spacing w:after="120" w:line="276"/>
      </w:pPr>
      <w:r>
        <w:t xml:space="preserve"/>
      </w:r>
    </w:p>
    <w:p>
      <w:pPr>
        <w:spacing w:after="120" w:line="276"/>
      </w:pPr>
      <w:r>
        <w:rPr>
          <w:color w:val="1A1A1A"/>
          <w:sz w:val="19"/>
          <w:szCs w:val="19"/>
        </w:rPr>
        <w:t xml:space="preserve">The loss stack below is as stated in the 5 August design calculation for the 11 MW case. The +45 C column is the tender's binding condition and is the single largest open item in this proposal: the received calculation computes auxiliaries at 35 C, while the site envelope runs to +45 C and Volume I §3.1(k) requires four hours at rated output at site ambient.</w:t>
      </w:r>
    </w:p>
    <w:tbl>
      <w:tblPr>
        <w:tblW w:type="dxa" w:w="9028"/>
        <w:tblBorders>
          <w:top w:val="single" w:color="C9D2DA" w:sz="6"/>
          <w:left w:val="none" w:color="auto" w:sz="0"/>
          <w:bottom w:val="single" w:color="C9D2DA" w:sz="6"/>
          <w:right w:val="none" w:color="auto" w:sz="0"/>
          <w:insideH w:val="single" w:color="C9D2DA" w:sz="4"/>
          <w:insideV w:val="none" w:color="auto" w:sz="0"/>
        </w:tblBorders>
      </w:tblPr>
      <w:tblGrid>
        <w:gridCol w:w="1806"/>
        <w:gridCol w:w="2889"/>
        <w:gridCol w:w="4333"/>
      </w:tblGrid>
      <w:tr>
        <w:trPr>
          <w:tblHeader/>
        </w:trPr>
        <w:tc>
          <w:tcPr>
            <w:tcW w:type="dxa" w:w="1806"/>
            <w:shd w:fill="123B5D" w:color="auto" w:val="clear"/>
            <w:tcMar>
              <w:top w:type="dxa" w:w="90"/>
              <w:left w:type="dxa" w:w="120"/>
              <w:bottom w:type="dxa" w:w="90"/>
              <w:right w:type="dxa" w:w="120"/>
            </w:tcMar>
          </w:tcPr>
          <w:p>
            <w:pPr>
              <w:spacing w:after="0"/>
            </w:pPr>
            <w:r>
              <w:rPr>
                <w:b/>
                <w:bCs/>
                <w:color w:val="FFFFFF"/>
                <w:sz w:val="17"/>
                <w:szCs w:val="17"/>
              </w:rPr>
              <w:t xml:space="preserve">Loss element</w:t>
            </w:r>
          </w:p>
        </w:tc>
        <w:tc>
          <w:tcPr>
            <w:tcW w:type="dxa" w:w="2889"/>
            <w:shd w:fill="123B5D" w:color="auto" w:val="clear"/>
            <w:tcMar>
              <w:top w:type="dxa" w:w="90"/>
              <w:left w:type="dxa" w:w="120"/>
              <w:bottom w:type="dxa" w:w="90"/>
              <w:right w:type="dxa" w:w="120"/>
            </w:tcMar>
          </w:tcPr>
          <w:p>
            <w:pPr>
              <w:spacing w:after="0"/>
            </w:pPr>
            <w:r>
              <w:rPr>
                <w:b/>
                <w:bCs/>
                <w:color w:val="FFFFFF"/>
                <w:sz w:val="17"/>
                <w:szCs w:val="17"/>
              </w:rPr>
              <w:t xml:space="preserve">As calculated (35 C basis)</w:t>
            </w:r>
          </w:p>
        </w:tc>
        <w:tc>
          <w:tcPr>
            <w:tcW w:type="dxa" w:w="4333"/>
            <w:shd w:fill="123B5D" w:color="auto" w:val="clear"/>
            <w:tcMar>
              <w:top w:type="dxa" w:w="90"/>
              <w:left w:type="dxa" w:w="120"/>
              <w:bottom w:type="dxa" w:w="90"/>
              <w:right w:type="dxa" w:w="120"/>
            </w:tcMar>
          </w:tcPr>
          <w:p>
            <w:pPr>
              <w:spacing w:after="0"/>
            </w:pPr>
            <w:r>
              <w:rPr>
                <w:b/>
                <w:bCs/>
                <w:color w:val="FFFFFF"/>
                <w:sz w:val="17"/>
                <w:szCs w:val="17"/>
              </w:rPr>
              <w:t xml:space="preserve">At +45 C site ambient</w:t>
            </w:r>
          </w:p>
        </w:tc>
      </w:tr>
      <w:tr>
        <w:tc>
          <w:tcPr>
            <w:tcW w:type="dxa" w:w="1806"/>
            <w:shd w:fill="FFFFFF" w:color="auto" w:val="clear"/>
            <w:tcMar>
              <w:top w:type="dxa" w:w="90"/>
              <w:left w:type="dxa" w:w="120"/>
              <w:bottom w:type="dxa" w:w="90"/>
              <w:right w:type="dxa" w:w="120"/>
            </w:tcMar>
          </w:tcPr>
          <w:p>
            <w:pPr>
              <w:spacing w:after="0" w:line="264"/>
            </w:pPr>
            <w:r>
              <w:rPr>
                <w:color w:val="1A1A1A"/>
                <w:sz w:val="17"/>
                <w:szCs w:val="17"/>
              </w:rPr>
              <w:t xml:space="preserve">Calendar degradation, FAT to SAT</w:t>
            </w:r>
          </w:p>
        </w:tc>
        <w:tc>
          <w:tcPr>
            <w:tcW w:type="dxa" w:w="2889"/>
            <w:shd w:fill="FFFFFF" w:color="auto" w:val="clear"/>
            <w:tcMar>
              <w:top w:type="dxa" w:w="90"/>
              <w:left w:type="dxa" w:w="120"/>
              <w:bottom w:type="dxa" w:w="90"/>
              <w:right w:type="dxa" w:w="120"/>
            </w:tcMar>
          </w:tcPr>
          <w:p>
            <w:pPr>
              <w:spacing w:after="0" w:line="264"/>
            </w:pPr>
            <w:r>
              <w:rPr>
                <w:color w:val="1A1A1A"/>
                <w:sz w:val="17"/>
                <w:szCs w:val="17"/>
              </w:rPr>
              <w:t xml:space="preserve">97 %</w:t>
            </w:r>
          </w:p>
        </w:tc>
        <w:tc>
          <w:tcPr>
            <w:tcW w:type="dxa" w:w="4333"/>
            <w:shd w:fill="FFFFFF" w:color="auto" w:val="clear"/>
            <w:tcMar>
              <w:top w:type="dxa" w:w="90"/>
              <w:left w:type="dxa" w:w="120"/>
              <w:bottom w:type="dxa" w:w="90"/>
              <w:right w:type="dxa" w:w="120"/>
            </w:tcMar>
          </w:tcPr>
          <w:p>
            <w:pPr>
              <w:spacing w:after="0" w:line="264"/>
            </w:pPr>
            <w:r>
              <w:rPr>
                <w:color w:val="C00000"/>
                <w:sz w:val="17"/>
                <w:szCs w:val="17"/>
              </w:rPr>
              <w:t xml:space="preserve">No change expected - Envision to confirm</w:t>
            </w:r>
          </w:p>
        </w:tc>
      </w:tr>
      <w:tr>
        <w:tc>
          <w:tcPr>
            <w:tcW w:type="dxa" w:w="1806"/>
            <w:shd w:fill="F2F5F7" w:color="auto" w:val="clear"/>
            <w:tcMar>
              <w:top w:type="dxa" w:w="90"/>
              <w:left w:type="dxa" w:w="120"/>
              <w:bottom w:type="dxa" w:w="90"/>
              <w:right w:type="dxa" w:w="120"/>
            </w:tcMar>
          </w:tcPr>
          <w:p>
            <w:pPr>
              <w:spacing w:after="0" w:line="264"/>
            </w:pPr>
            <w:r>
              <w:rPr>
                <w:color w:val="1A1A1A"/>
                <w:sz w:val="17"/>
                <w:szCs w:val="17"/>
              </w:rPr>
              <w:t xml:space="preserve">Usable DC ratio</w:t>
            </w:r>
          </w:p>
        </w:tc>
        <w:tc>
          <w:tcPr>
            <w:tcW w:type="dxa" w:w="2889"/>
            <w:shd w:fill="F2F5F7" w:color="auto" w:val="clear"/>
            <w:tcMar>
              <w:top w:type="dxa" w:w="90"/>
              <w:left w:type="dxa" w:w="120"/>
              <w:bottom w:type="dxa" w:w="90"/>
              <w:right w:type="dxa" w:w="120"/>
            </w:tcMar>
          </w:tcPr>
          <w:p>
            <w:pPr>
              <w:spacing w:after="0" w:line="264"/>
            </w:pPr>
            <w:r>
              <w:rPr>
                <w:color w:val="1A1A1A"/>
                <w:sz w:val="17"/>
                <w:szCs w:val="17"/>
              </w:rPr>
              <w:t xml:space="preserve">98 %</w:t>
            </w:r>
          </w:p>
        </w:tc>
        <w:tc>
          <w:tcPr>
            <w:tcW w:type="dxa" w:w="4333"/>
            <w:shd w:fill="F2F5F7" w:color="auto" w:val="clear"/>
            <w:tcMar>
              <w:top w:type="dxa" w:w="90"/>
              <w:left w:type="dxa" w:w="120"/>
              <w:bottom w:type="dxa" w:w="90"/>
              <w:right w:type="dxa" w:w="120"/>
            </w:tcMar>
          </w:tcPr>
          <w:p>
            <w:pPr>
              <w:spacing w:after="0" w:line="264"/>
            </w:pPr>
            <w:r>
              <w:rPr>
                <w:color w:val="C00000"/>
                <w:sz w:val="17"/>
                <w:szCs w:val="17"/>
              </w:rPr>
              <w:t xml:space="preserve">Envision to confirm</w:t>
            </w:r>
          </w:p>
        </w:tc>
      </w:tr>
      <w:tr>
        <w:tc>
          <w:tcPr>
            <w:tcW w:type="dxa" w:w="1806"/>
            <w:shd w:fill="FFFFFF" w:color="auto" w:val="clear"/>
            <w:tcMar>
              <w:top w:type="dxa" w:w="90"/>
              <w:left w:type="dxa" w:w="120"/>
              <w:bottom w:type="dxa" w:w="90"/>
              <w:right w:type="dxa" w:w="120"/>
            </w:tcMar>
          </w:tcPr>
          <w:p>
            <w:pPr>
              <w:spacing w:after="0" w:line="264"/>
            </w:pPr>
            <w:r>
              <w:rPr>
                <w:color w:val="1A1A1A"/>
                <w:sz w:val="17"/>
                <w:szCs w:val="17"/>
              </w:rPr>
              <w:t xml:space="preserve">LV DC cable</w:t>
            </w:r>
          </w:p>
        </w:tc>
        <w:tc>
          <w:tcPr>
            <w:tcW w:type="dxa" w:w="2889"/>
            <w:shd w:fill="FFFFFF" w:color="auto" w:val="clear"/>
            <w:tcMar>
              <w:top w:type="dxa" w:w="90"/>
              <w:left w:type="dxa" w:w="120"/>
              <w:bottom w:type="dxa" w:w="90"/>
              <w:right w:type="dxa" w:w="120"/>
            </w:tcMar>
          </w:tcPr>
          <w:p>
            <w:pPr>
              <w:spacing w:after="0" w:line="264"/>
            </w:pPr>
            <w:r>
              <w:rPr>
                <w:color w:val="1A1A1A"/>
                <w:sz w:val="17"/>
                <w:szCs w:val="17"/>
              </w:rPr>
              <w:t xml:space="preserve">99.9 %</w:t>
            </w:r>
          </w:p>
        </w:tc>
        <w:tc>
          <w:tcPr>
            <w:tcW w:type="dxa" w:w="4333"/>
            <w:shd w:fill="FFFFFF" w:color="auto" w:val="clear"/>
            <w:tcMar>
              <w:top w:type="dxa" w:w="90"/>
              <w:left w:type="dxa" w:w="120"/>
              <w:bottom w:type="dxa" w:w="90"/>
              <w:right w:type="dxa" w:w="120"/>
            </w:tcMar>
          </w:tcPr>
          <w:p>
            <w:pPr>
              <w:spacing w:after="0" w:line="264"/>
            </w:pPr>
            <w:r>
              <w:rPr>
                <w:color w:val="C00000"/>
                <w:sz w:val="17"/>
                <w:szCs w:val="17"/>
              </w:rPr>
              <w:t xml:space="preserve">Envision to confirm</w:t>
            </w:r>
          </w:p>
        </w:tc>
      </w:tr>
      <w:tr>
        <w:tc>
          <w:tcPr>
            <w:tcW w:type="dxa" w:w="1806"/>
            <w:shd w:fill="F2F5F7" w:color="auto" w:val="clear"/>
            <w:tcMar>
              <w:top w:type="dxa" w:w="90"/>
              <w:left w:type="dxa" w:w="120"/>
              <w:bottom w:type="dxa" w:w="90"/>
              <w:right w:type="dxa" w:w="120"/>
            </w:tcMar>
          </w:tcPr>
          <w:p>
            <w:pPr>
              <w:spacing w:after="0" w:line="264"/>
            </w:pPr>
            <w:r>
              <w:rPr>
                <w:color w:val="1A1A1A"/>
                <w:sz w:val="17"/>
                <w:szCs w:val="17"/>
              </w:rPr>
              <w:t xml:space="preserve">PCS conversion</w:t>
            </w:r>
          </w:p>
        </w:tc>
        <w:tc>
          <w:tcPr>
            <w:tcW w:type="dxa" w:w="2889"/>
            <w:shd w:fill="F2F5F7" w:color="auto" w:val="clear"/>
            <w:tcMar>
              <w:top w:type="dxa" w:w="90"/>
              <w:left w:type="dxa" w:w="120"/>
              <w:bottom w:type="dxa" w:w="90"/>
              <w:right w:type="dxa" w:w="120"/>
            </w:tcMar>
          </w:tcPr>
          <w:p>
            <w:pPr>
              <w:spacing w:after="0" w:line="264"/>
            </w:pPr>
            <w:r>
              <w:rPr>
                <w:color w:val="1A1A1A"/>
                <w:sz w:val="17"/>
                <w:szCs w:val="17"/>
              </w:rPr>
              <w:t xml:space="preserve">98.5 %</w:t>
            </w:r>
          </w:p>
        </w:tc>
        <w:tc>
          <w:tcPr>
            <w:tcW w:type="dxa" w:w="4333"/>
            <w:shd w:fill="F2F5F7" w:color="auto" w:val="clear"/>
            <w:tcMar>
              <w:top w:type="dxa" w:w="90"/>
              <w:left w:type="dxa" w:w="120"/>
              <w:bottom w:type="dxa" w:w="90"/>
              <w:right w:type="dxa" w:w="120"/>
            </w:tcMar>
          </w:tcPr>
          <w:p>
            <w:pPr>
              <w:spacing w:after="0" w:line="264"/>
            </w:pPr>
            <w:r>
              <w:rPr>
                <w:color w:val="C00000"/>
                <w:sz w:val="17"/>
                <w:szCs w:val="17"/>
              </w:rPr>
              <w:t xml:space="preserve">Derate expected above 40 C - Envision to state the curve</w:t>
            </w:r>
          </w:p>
        </w:tc>
      </w:tr>
      <w:tr>
        <w:tc>
          <w:tcPr>
            <w:tcW w:type="dxa" w:w="1806"/>
            <w:shd w:fill="FFFFFF" w:color="auto" w:val="clear"/>
            <w:tcMar>
              <w:top w:type="dxa" w:w="90"/>
              <w:left w:type="dxa" w:w="120"/>
              <w:bottom w:type="dxa" w:w="90"/>
              <w:right w:type="dxa" w:w="120"/>
            </w:tcMar>
          </w:tcPr>
          <w:p>
            <w:pPr>
              <w:spacing w:after="0" w:line="264"/>
            </w:pPr>
            <w:r>
              <w:rPr>
                <w:color w:val="1A1A1A"/>
                <w:sz w:val="17"/>
                <w:szCs w:val="17"/>
              </w:rPr>
              <w:t xml:space="preserve">LV/MV transformer</w:t>
            </w:r>
          </w:p>
        </w:tc>
        <w:tc>
          <w:tcPr>
            <w:tcW w:type="dxa" w:w="2889"/>
            <w:shd w:fill="FFFFFF" w:color="auto" w:val="clear"/>
            <w:tcMar>
              <w:top w:type="dxa" w:w="90"/>
              <w:left w:type="dxa" w:w="120"/>
              <w:bottom w:type="dxa" w:w="90"/>
              <w:right w:type="dxa" w:w="120"/>
            </w:tcMar>
          </w:tcPr>
          <w:p>
            <w:pPr>
              <w:spacing w:after="0" w:line="264"/>
            </w:pPr>
            <w:r>
              <w:rPr>
                <w:color w:val="1A1A1A"/>
                <w:sz w:val="17"/>
                <w:szCs w:val="17"/>
              </w:rPr>
              <w:t xml:space="preserve">99.2 %</w:t>
            </w:r>
          </w:p>
        </w:tc>
        <w:tc>
          <w:tcPr>
            <w:tcW w:type="dxa" w:w="4333"/>
            <w:shd w:fill="FFFFFF" w:color="auto" w:val="clear"/>
            <w:tcMar>
              <w:top w:type="dxa" w:w="90"/>
              <w:left w:type="dxa" w:w="120"/>
              <w:bottom w:type="dxa" w:w="90"/>
              <w:right w:type="dxa" w:w="120"/>
            </w:tcMar>
          </w:tcPr>
          <w:p>
            <w:pPr>
              <w:spacing w:after="0" w:line="264"/>
            </w:pPr>
            <w:r>
              <w:rPr>
                <w:color w:val="C00000"/>
                <w:sz w:val="17"/>
                <w:szCs w:val="17"/>
              </w:rPr>
              <w:t xml:space="preserve">Envision to confirm at 45 C oil rise</w:t>
            </w:r>
          </w:p>
        </w:tc>
      </w:tr>
      <w:tr>
        <w:tc>
          <w:tcPr>
            <w:tcW w:type="dxa" w:w="1806"/>
            <w:shd w:fill="F2F5F7" w:color="auto" w:val="clear"/>
            <w:tcMar>
              <w:top w:type="dxa" w:w="90"/>
              <w:left w:type="dxa" w:w="120"/>
              <w:bottom w:type="dxa" w:w="90"/>
              <w:right w:type="dxa" w:w="120"/>
            </w:tcMar>
          </w:tcPr>
          <w:p>
            <w:pPr>
              <w:spacing w:after="0" w:line="264"/>
            </w:pPr>
            <w:r>
              <w:rPr>
                <w:color w:val="1A1A1A"/>
                <w:sz w:val="17"/>
                <w:szCs w:val="17"/>
              </w:rPr>
              <w:t xml:space="preserve">MV cable</w:t>
            </w:r>
          </w:p>
        </w:tc>
        <w:tc>
          <w:tcPr>
            <w:tcW w:type="dxa" w:w="2889"/>
            <w:shd w:fill="F2F5F7" w:color="auto" w:val="clear"/>
            <w:tcMar>
              <w:top w:type="dxa" w:w="90"/>
              <w:left w:type="dxa" w:w="120"/>
              <w:bottom w:type="dxa" w:w="90"/>
              <w:right w:type="dxa" w:w="120"/>
            </w:tcMar>
          </w:tcPr>
          <w:p>
            <w:pPr>
              <w:spacing w:after="0" w:line="264"/>
            </w:pPr>
            <w:r>
              <w:rPr>
                <w:color w:val="1A1A1A"/>
                <w:sz w:val="17"/>
                <w:szCs w:val="17"/>
              </w:rPr>
              <w:t xml:space="preserve">99.6 %</w:t>
            </w:r>
          </w:p>
        </w:tc>
        <w:tc>
          <w:tcPr>
            <w:tcW w:type="dxa" w:w="4333"/>
            <w:shd w:fill="F2F5F7" w:color="auto" w:val="clear"/>
            <w:tcMar>
              <w:top w:type="dxa" w:w="90"/>
              <w:left w:type="dxa" w:w="120"/>
              <w:bottom w:type="dxa" w:w="90"/>
              <w:right w:type="dxa" w:w="120"/>
            </w:tcMar>
          </w:tcPr>
          <w:p>
            <w:pPr>
              <w:spacing w:after="0" w:line="264"/>
            </w:pPr>
            <w:r>
              <w:rPr>
                <w:color w:val="C00000"/>
                <w:sz w:val="17"/>
                <w:szCs w:val="17"/>
              </w:rPr>
              <w:t xml:space="preserve">Envision to confirm</w:t>
            </w:r>
          </w:p>
        </w:tc>
      </w:tr>
      <w:tr>
        <w:tc>
          <w:tcPr>
            <w:tcW w:type="dxa" w:w="1806"/>
            <w:shd w:fill="FFFFFF" w:color="auto" w:val="clear"/>
            <w:tcMar>
              <w:top w:type="dxa" w:w="90"/>
              <w:left w:type="dxa" w:w="120"/>
              <w:bottom w:type="dxa" w:w="90"/>
              <w:right w:type="dxa" w:w="120"/>
            </w:tcMar>
          </w:tcPr>
          <w:p>
            <w:pPr>
              <w:spacing w:after="0" w:line="264"/>
            </w:pPr>
            <w:r>
              <w:rPr>
                <w:color w:val="1A1A1A"/>
                <w:sz w:val="17"/>
                <w:szCs w:val="17"/>
              </w:rPr>
              <w:t xml:space="preserve">MV/HV transformer and HV cable</w:t>
            </w:r>
          </w:p>
        </w:tc>
        <w:tc>
          <w:tcPr>
            <w:tcW w:type="dxa" w:w="2889"/>
            <w:shd w:fill="FFFFFF" w:color="auto" w:val="clear"/>
            <w:tcMar>
              <w:top w:type="dxa" w:w="90"/>
              <w:left w:type="dxa" w:w="120"/>
              <w:bottom w:type="dxa" w:w="90"/>
              <w:right w:type="dxa" w:w="120"/>
            </w:tcMar>
          </w:tcPr>
          <w:p>
            <w:pPr>
              <w:spacing w:after="0" w:line="264"/>
            </w:pPr>
            <w:r>
              <w:rPr>
                <w:color w:val="1A1A1A"/>
                <w:sz w:val="17"/>
                <w:szCs w:val="17"/>
              </w:rPr>
              <w:t xml:space="preserve">100 % (assumed, BoP scope)</w:t>
            </w:r>
          </w:p>
        </w:tc>
        <w:tc>
          <w:tcPr>
            <w:tcW w:type="dxa" w:w="4333"/>
            <w:shd w:fill="FFFFFF" w:color="auto" w:val="clear"/>
            <w:tcMar>
              <w:top w:type="dxa" w:w="90"/>
              <w:left w:type="dxa" w:w="120"/>
              <w:bottom w:type="dxa" w:w="90"/>
              <w:right w:type="dxa" w:w="120"/>
            </w:tcMar>
          </w:tcPr>
          <w:p>
            <w:pPr>
              <w:spacing w:after="0" w:line="264"/>
            </w:pPr>
            <w:r>
              <w:rPr>
                <w:color w:val="1A1A1A"/>
                <w:sz w:val="17"/>
                <w:szCs w:val="17"/>
              </w:rPr>
              <w:t xml:space="preserve">100 % (assumed, BoP scope)</w:t>
            </w:r>
          </w:p>
        </w:tc>
      </w:tr>
      <w:tr>
        <w:tc>
          <w:tcPr>
            <w:tcW w:type="dxa" w:w="1806"/>
            <w:shd w:fill="FBEFEF" w:color="auto" w:val="clear"/>
            <w:tcMar>
              <w:top w:type="dxa" w:w="90"/>
              <w:left w:type="dxa" w:w="120"/>
              <w:bottom w:type="dxa" w:w="90"/>
              <w:right w:type="dxa" w:w="120"/>
            </w:tcMar>
          </w:tcPr>
          <w:p>
            <w:pPr>
              <w:spacing w:after="0" w:line="264"/>
            </w:pPr>
            <w:r>
              <w:rPr>
                <w:color w:val="1A1A1A"/>
                <w:sz w:val="17"/>
                <w:szCs w:val="17"/>
              </w:rPr>
              <w:t xml:space="preserve">Auxiliary and HVAC</w:t>
            </w:r>
          </w:p>
        </w:tc>
        <w:tc>
          <w:tcPr>
            <w:tcW w:type="dxa" w:w="2889"/>
            <w:shd w:fill="FBEFEF" w:color="auto" w:val="clear"/>
            <w:tcMar>
              <w:top w:type="dxa" w:w="90"/>
              <w:left w:type="dxa" w:w="120"/>
              <w:bottom w:type="dxa" w:w="90"/>
              <w:right w:type="dxa" w:w="120"/>
            </w:tcMar>
          </w:tcPr>
          <w:p>
            <w:pPr>
              <w:spacing w:after="0" w:line="264"/>
            </w:pPr>
            <w:r>
              <w:rPr>
                <w:color w:val="1A1A1A"/>
                <w:sz w:val="17"/>
                <w:szCs w:val="17"/>
              </w:rPr>
              <w:t xml:space="preserve">0.17 MW over 4 h at BoL</w:t>
            </w:r>
          </w:p>
        </w:tc>
        <w:tc>
          <w:tcPr>
            <w:tcW w:type="dxa" w:w="4333"/>
            <w:shd w:fill="FBEFEF" w:color="auto" w:val="clear"/>
            <w:tcMar>
              <w:top w:type="dxa" w:w="90"/>
              <w:left w:type="dxa" w:w="120"/>
              <w:bottom w:type="dxa" w:w="90"/>
              <w:right w:type="dxa" w:w="120"/>
            </w:tcMar>
          </w:tcPr>
          <w:p>
            <w:pPr>
              <w:spacing w:after="0" w:line="264"/>
            </w:pPr>
            <w:r>
              <w:rPr>
                <w:color w:val="C00000"/>
                <w:sz w:val="17"/>
                <w:szCs w:val="17"/>
              </w:rPr>
              <w:t xml:space="preserve">Envision to state - the RTE guarantee cannot be closed without it</w:t>
            </w:r>
          </w:p>
        </w:tc>
      </w:tr>
    </w:tbl>
    <w:p>
      <w:pPr>
        <w:spacing w:after="120" w:line="276"/>
      </w:pPr>
      <w:r>
        <w:rPr>
          <w:i/>
          <w:iCs/>
          <w:color w:val="5A6472"/>
          <w:sz w:val="16"/>
          <w:szCs w:val="16"/>
        </w:rPr>
        <w:t xml:space="preserve">Source: Envision design calculation, 11 MW / 44 MWh, V1.0, 5 August 2026.</w:t>
      </w:r>
    </w:p>
    <w:p>
      <w:pPr>
        <w:pStyle w:val="Heading1"/>
        <w:spacing w:after="140" w:before="320"/>
      </w:pPr>
      <w:r>
        <w:rPr>
          <w:b/>
          <w:bCs/>
          <w:color w:val="123B5D"/>
          <w:sz w:val="26"/>
          <w:szCs w:val="26"/>
        </w:rPr>
        <w:t xml:space="preserve">6. Thermal substantiation at +45 C - the case Envision must supply</w:t>
      </w:r>
    </w:p>
    <w:tbl>
      <w:tblPr>
        <w:tblW w:type="dxa" w:w="9028"/>
        <w:tblBorders>
          <w:top w:val="none" w:color="auto" w:sz="0"/>
          <w:left w:val="single" w:color="123B5D" w:sz="18"/>
          <w:bottom w:val="none" w:color="auto" w:sz="0"/>
          <w:right w:val="none" w:color="auto" w:sz="0"/>
          <w:insideH w:val="none" w:color="auto" w:sz="0"/>
          <w:insideV w:val="none" w:color="auto" w:sz="0"/>
        </w:tblBorders>
      </w:tblPr>
      <w:tblGrid>
        <w:gridCol w:w="9028"/>
      </w:tblGrid>
      <w:tr>
        <w:tc>
          <w:tcPr>
            <w:tcW w:type="dxa" w:w="9028"/>
            <w:shd w:fill="F2F5F7" w:color="auto" w:val="clear"/>
            <w:tcMar>
              <w:top w:type="dxa" w:w="140"/>
              <w:left w:type="dxa" w:w="180"/>
              <w:bottom w:type="dxa" w:w="140"/>
              <w:right w:type="dxa" w:w="180"/>
            </w:tcMar>
          </w:tcPr>
          <w:p>
            <w:pPr>
              <w:spacing w:after="0" w:line="264"/>
            </w:pPr>
            <w:r>
              <w:rPr>
                <w:b/>
                <w:bCs/>
                <w:color w:val="1A1A1A"/>
                <w:sz w:val="18"/>
                <w:szCs w:val="18"/>
              </w:rPr>
              <w:t xml:space="preserve">BLACK = sourced from a received document | RED = drafted gap-fill, unverified, for Envision to confirm or replace</w:t>
            </w:r>
          </w:p>
        </w:tc>
      </w:tr>
    </w:tbl>
    <w:p>
      <w:pPr>
        <w:spacing w:after="120" w:line="276"/>
      </w:pPr>
      <w:r>
        <w:t xml:space="preserve"/>
      </w:r>
    </w:p>
    <w:p>
      <w:pPr>
        <w:spacing w:after="120" w:line="276"/>
      </w:pPr>
      <w:r>
        <w:rPr>
          <w:color w:val="1A1A1A"/>
          <w:sz w:val="19"/>
          <w:szCs w:val="19"/>
        </w:rPr>
        <w:t xml:space="preserve">The system is liquid-cooled, so cell temperature is not ambient temperature. That is the whole of Envision's answer to the cycle-life question, and it is currently unstated. The following is the shape of the case the tender requires.</w:t>
      </w:r>
    </w:p>
    <w:p>
      <w:pPr>
        <w:pStyle w:val="ListParagraph"/>
        <w:numPr>
          <w:ilvl w:val="0"/>
          <w:numId w:val="2"/>
        </w:numPr>
        <w:spacing w:after="140" w:line="276"/>
      </w:pPr>
      <w:r>
        <w:rPr>
          <w:color w:val="1A1A1A"/>
          <w:sz w:val="19"/>
          <w:szCs w:val="19"/>
        </w:rPr>
        <w:t xml:space="preserve">The supplier's own independent test-house bankability study (Issue D Final, 28 January 2026) records approximately 10,000 cycles to 70 % capacity retention at 25 C and 0.25P, but only approximately 4,000 at 45 C. The 20-year / 70 %-retention simulation it endorses is qualified to 25 C, at most 50 % SOC and one cycle per day.</w:t>
      </w:r>
    </w:p>
    <w:p>
      <w:pPr>
        <w:pStyle w:val="ListParagraph"/>
        <w:numPr>
          <w:ilvl w:val="0"/>
          <w:numId w:val="2"/>
        </w:numPr>
        <w:spacing w:after="140" w:line="276"/>
      </w:pPr>
      <w:r>
        <w:rPr>
          <w:color w:val="1A1A1A"/>
          <w:sz w:val="19"/>
          <w:szCs w:val="19"/>
        </w:rPr>
        <w:t xml:space="preserve">The contracted duty is approximately 400 full equivalent cycles per year over 15 years, i.e. roughly 6,000 cycles as a minimum obligation - about 2,000 more than the 45 C figure supports.</w:t>
      </w:r>
    </w:p>
    <w:p>
      <w:pPr>
        <w:pStyle w:val="ListParagraph"/>
        <w:numPr>
          <w:ilvl w:val="0"/>
          <w:numId w:val="2"/>
        </w:numPr>
        <w:spacing w:after="140" w:line="276"/>
      </w:pPr>
      <w:r>
        <w:rPr>
          <w:color w:val="C00000"/>
          <w:sz w:val="19"/>
          <w:szCs w:val="19"/>
        </w:rPr>
        <w:t xml:space="preserve">Proposed substantiation. At +45 C ambient the liquid-cooling system maintains a coolant supply temperature of 18 C, holding steady-state cell temperature at or below 30 C at the contracted 0.25P duty, with cell-to-cell spread within 5 C. Cycle life at that cell temperature is therefore materially closer to the 25 C figure than to the 45 C figure, and exceeds the approximately 6,022 EFC the 15-year duty requires. Envision to supply the thermal calculation that establishes this.</w:t>
      </w:r>
    </w:p>
    <w:p>
      <w:pPr>
        <w:pStyle w:val="ListParagraph"/>
        <w:numPr>
          <w:ilvl w:val="0"/>
          <w:numId w:val="2"/>
        </w:numPr>
        <w:spacing w:after="140" w:line="276"/>
      </w:pPr>
      <w:r>
        <w:rPr>
          <w:color w:val="C00000"/>
          <w:sz w:val="19"/>
          <w:szCs w:val="19"/>
        </w:rPr>
        <w:t xml:space="preserve">Chiller rating point. The industry convention for this duty is an L45/W18 rating - rated cooling output at 45 C ambient with an 18 C fluid supply. Envision to state the installed chiller capacity at L45/W18 and the electrical draw at that condition, which is the auxiliary figure the RTE guarantee needs.</w:t>
      </w:r>
    </w:p>
    <w:p>
      <w:pPr>
        <w:pStyle w:val="ListParagraph"/>
        <w:numPr>
          <w:ilvl w:val="0"/>
          <w:numId w:val="2"/>
        </w:numPr>
        <w:spacing w:after="140" w:line="276"/>
      </w:pPr>
      <w:r>
        <w:rPr>
          <w:color w:val="C00000"/>
          <w:sz w:val="19"/>
          <w:szCs w:val="19"/>
        </w:rPr>
        <w:t xml:space="preserve">Contractual backstop. Where the thermal case cannot be closed before submission, Envision offers a capacity and throughput warranty with an augmentation undertaking triggered on measured capacity falling below the declared curve, at Envision's cost. This converts the exposure into a bankable term and is the correct answer even with more time. Envision to confirm.</w:t>
      </w:r>
    </w:p>
    <w:p>
      <w:pPr>
        <w:pStyle w:val="Heading1"/>
        <w:spacing w:after="140" w:before="320"/>
      </w:pPr>
      <w:r>
        <w:rPr>
          <w:b/>
          <w:bCs/>
          <w:color w:val="123B5D"/>
          <w:sz w:val="26"/>
          <w:szCs w:val="26"/>
        </w:rPr>
        <w:t xml:space="preserve">7. Grid-forming control - declaration and compliance</w:t>
      </w:r>
    </w:p>
    <w:tbl>
      <w:tblPr>
        <w:tblW w:type="dxa" w:w="9028"/>
        <w:tblBorders>
          <w:top w:val="none" w:color="auto" w:sz="0"/>
          <w:left w:val="single" w:color="123B5D" w:sz="18"/>
          <w:bottom w:val="none" w:color="auto" w:sz="0"/>
          <w:right w:val="none" w:color="auto" w:sz="0"/>
          <w:insideH w:val="none" w:color="auto" w:sz="0"/>
          <w:insideV w:val="none" w:color="auto" w:sz="0"/>
        </w:tblBorders>
      </w:tblPr>
      <w:tblGrid>
        <w:gridCol w:w="9028"/>
      </w:tblGrid>
      <w:tr>
        <w:tc>
          <w:tcPr>
            <w:tcW w:type="dxa" w:w="9028"/>
            <w:shd w:fill="F2F5F7" w:color="auto" w:val="clear"/>
            <w:tcMar>
              <w:top w:type="dxa" w:w="140"/>
              <w:left w:type="dxa" w:w="180"/>
              <w:bottom w:type="dxa" w:w="140"/>
              <w:right w:type="dxa" w:w="180"/>
            </w:tcMar>
          </w:tcPr>
          <w:p>
            <w:pPr>
              <w:spacing w:after="0" w:line="264"/>
            </w:pPr>
            <w:r>
              <w:rPr>
                <w:b/>
                <w:bCs/>
                <w:color w:val="1A1A1A"/>
                <w:sz w:val="18"/>
                <w:szCs w:val="18"/>
              </w:rPr>
              <w:t xml:space="preserve">BLACK = sourced from a received document | RED = drafted gap-fill, unverified, for Envision to confirm or replace</w:t>
            </w:r>
          </w:p>
        </w:tc>
      </w:tr>
    </w:tbl>
    <w:p>
      <w:pPr>
        <w:spacing w:after="120" w:line="276"/>
      </w:pPr>
      <w:r>
        <w:t xml:space="preserve"/>
      </w:r>
    </w:p>
    <w:p>
      <w:pPr>
        <w:spacing w:after="120" w:line="276"/>
      </w:pPr>
      <w:r>
        <w:rPr>
          <w:color w:val="1A1A1A"/>
          <w:sz w:val="19"/>
          <w:szCs w:val="19"/>
        </w:rPr>
        <w:t xml:space="preserve">This section is drafted to reconcile two Employer documents that pull in different directions. Annex A A.05.17(i) REQUIRES the BESS to support both grid-following and grid-forming control modes with online switching between them. Volume I §3(c) requires a voltage-sourced, voltage-controlled inverter that must not change to current-controlled operation during normal operation or under any network fault condition. Clarification 12 confirms grid-forming capability is both mandatory and practical for these projects.</w:t>
      </w:r>
    </w:p>
    <w:p>
      <w:pPr>
        <w:pStyle w:val="ListParagraph"/>
        <w:numPr>
          <w:ilvl w:val="0"/>
          <w:numId w:val="2"/>
        </w:numPr>
        <w:spacing w:after="140" w:line="276"/>
      </w:pPr>
      <w:r>
        <w:rPr>
          <w:color w:val="C00000"/>
          <w:sz w:val="19"/>
          <w:szCs w:val="19"/>
        </w:rPr>
        <w:t xml:space="preserve">Declaration. The ENPCS2520 supports both grid-forming and grid-following control modes with online switching between them, as Annex A A.05.17(i) requires. The plant is delivered, commissioned and operated in GRID-FORMING mode as its normal and continuous operating state. It does not change to current-controlled (grid-following) operation during normal operation or under any network fault condition, as Volume I §3(c) requires. Mode transition is available only as a commissioning and maintenance function under NSO's written instruction, and is not an automatic fault response.</w:t>
      </w:r>
    </w:p>
    <w:p>
      <w:pPr>
        <w:pStyle w:val="ListParagraph"/>
        <w:numPr>
          <w:ilvl w:val="0"/>
          <w:numId w:val="2"/>
        </w:numPr>
        <w:spacing w:after="140" w:line="276"/>
      </w:pPr>
      <w:r>
        <w:rPr>
          <w:color w:val="C00000"/>
          <w:sz w:val="19"/>
          <w:szCs w:val="19"/>
        </w:rPr>
        <w:t xml:space="preserve">Short-circuit ratio. Grid-forming operation is stable to a minimum SCR of 1.0 and grid-following operation to a minimum SCR of 1.2, as Annex A A.05.17(j) requires. Envision to confirm and to evidence the SCR 1.0 case by EMT simulation - see section 8.</w:t>
      </w:r>
    </w:p>
    <w:p>
      <w:pPr>
        <w:pStyle w:val="ListParagraph"/>
        <w:numPr>
          <w:ilvl w:val="0"/>
          <w:numId w:val="2"/>
        </w:numPr>
        <w:spacing w:after="140" w:line="276"/>
      </w:pPr>
      <w:r>
        <w:rPr>
          <w:color w:val="1A1A1A"/>
          <w:sz w:val="19"/>
          <w:szCs w:val="19"/>
        </w:rPr>
        <w:t xml:space="preserve">Reconciliation of existing documents. The item 61 Grid Compliance List describes GFM and GFL modes with seamless transition at clauses 3.17.4 and 3.17.4.4. That dual-mode capability is REQUIRED by A.05.17(i) and is retained. What is re-pointed is its framing: it is offered as the A.05.17(i) capability, and NOT as the basis for converter robustness under fault, which is delivered by grid-forming operation per Volume I §3(c).</w:t>
      </w:r>
    </w:p>
    <w:p>
      <w:pPr>
        <w:pStyle w:val="ListParagraph"/>
        <w:numPr>
          <w:ilvl w:val="0"/>
          <w:numId w:val="2"/>
        </w:numPr>
        <w:spacing w:after="140" w:line="276"/>
      </w:pPr>
      <w:r>
        <w:rPr>
          <w:color w:val="C00000"/>
          <w:sz w:val="19"/>
          <w:szCs w:val="19"/>
        </w:rPr>
        <w:t xml:space="preserve">Document control. The item 61 Grid Compliance List currently carries the placeholder document number PMD - XXXXXXXX, revision A, and is unsigned, while the checklist requires it signed on company letterhead. Envision to issue a signed, numbered revision.</w:t>
      </w:r>
    </w:p>
    <w:p>
      <w:pPr>
        <w:pStyle w:val="ListParagraph"/>
        <w:numPr>
          <w:ilvl w:val="0"/>
          <w:numId w:val="2"/>
        </w:numPr>
        <w:spacing w:after="140" w:line="276"/>
      </w:pPr>
      <w:r>
        <w:rPr>
          <w:color w:val="C00000"/>
          <w:sz w:val="19"/>
          <w:szCs w:val="19"/>
        </w:rPr>
        <w:t xml:space="preserve">Superseded filing. Checklist item 38 requires grid-forming MODELLING evidence. The document currently filed against it is a black-start technical solution marked 'for reference'. Clarification 37 confirms black start is not mandatory for this project, so that document answers no tender requirement. It is withdrawn from item 38 and replaced by the model package at section 8.</w:t>
      </w:r>
    </w:p>
    <w:p>
      <w:pPr>
        <w:pStyle w:val="Heading1"/>
        <w:spacing w:after="140" w:before="320"/>
      </w:pPr>
      <w:r>
        <w:rPr>
          <w:b/>
          <w:bCs/>
          <w:color w:val="123B5D"/>
          <w:sz w:val="26"/>
          <w:szCs w:val="26"/>
        </w:rPr>
        <w:t xml:space="preserve">8. Annex A A.05 numeric performance parameters</w:t>
      </w:r>
    </w:p>
    <w:tbl>
      <w:tblPr>
        <w:tblW w:type="dxa" w:w="9028"/>
        <w:tblBorders>
          <w:top w:val="none" w:color="auto" w:sz="0"/>
          <w:left w:val="single" w:color="123B5D" w:sz="18"/>
          <w:bottom w:val="none" w:color="auto" w:sz="0"/>
          <w:right w:val="none" w:color="auto" w:sz="0"/>
          <w:insideH w:val="none" w:color="auto" w:sz="0"/>
          <w:insideV w:val="none" w:color="auto" w:sz="0"/>
        </w:tblBorders>
      </w:tblPr>
      <w:tblGrid>
        <w:gridCol w:w="9028"/>
      </w:tblGrid>
      <w:tr>
        <w:tc>
          <w:tcPr>
            <w:tcW w:type="dxa" w:w="9028"/>
            <w:shd w:fill="F2F5F7" w:color="auto" w:val="clear"/>
            <w:tcMar>
              <w:top w:type="dxa" w:w="140"/>
              <w:left w:type="dxa" w:w="180"/>
              <w:bottom w:type="dxa" w:w="140"/>
              <w:right w:type="dxa" w:w="180"/>
            </w:tcMar>
          </w:tcPr>
          <w:p>
            <w:pPr>
              <w:spacing w:after="0" w:line="264"/>
            </w:pPr>
            <w:r>
              <w:rPr>
                <w:b/>
                <w:bCs/>
                <w:color w:val="1A1A1A"/>
                <w:sz w:val="18"/>
                <w:szCs w:val="18"/>
              </w:rPr>
              <w:t xml:space="preserve">BLACK = sourced from a received document | RED = drafted gap-fill, unverified, for Envision to confirm or replace</w:t>
            </w:r>
          </w:p>
        </w:tc>
      </w:tr>
    </w:tbl>
    <w:p>
      <w:pPr>
        <w:spacing w:after="120" w:line="276"/>
      </w:pPr>
      <w:r>
        <w:t xml:space="preserve"/>
      </w:r>
    </w:p>
    <w:p>
      <w:pPr>
        <w:spacing w:after="120" w:line="276"/>
      </w:pPr>
      <w:r>
        <w:rPr>
          <w:color w:val="1A1A1A"/>
          <w:sz w:val="19"/>
          <w:szCs w:val="19"/>
        </w:rPr>
        <w:t xml:space="preserve">Annex A sets hard numeric acceptance criteria. Clarifications 59 and 64 both requested relief on the current ratings - including an explicit request to reduce the 120 % duration from two minutes to one - and both were answered 'Please comply with A.05.02 of Annex A'. No relief is available.</w:t>
      </w:r>
    </w:p>
    <w:tbl>
      <w:tblPr>
        <w:tblW w:type="dxa" w:w="9028"/>
        <w:tblBorders>
          <w:top w:val="single" w:color="C9D2DA" w:sz="6"/>
          <w:left w:val="none" w:color="auto" w:sz="0"/>
          <w:bottom w:val="single" w:color="C9D2DA" w:sz="6"/>
          <w:right w:val="none" w:color="auto" w:sz="0"/>
          <w:insideH w:val="single" w:color="C9D2DA" w:sz="4"/>
          <w:insideV w:val="none" w:color="auto" w:sz="0"/>
        </w:tblBorders>
      </w:tblPr>
      <w:tblGrid>
        <w:gridCol w:w="1806"/>
        <w:gridCol w:w="2889"/>
        <w:gridCol w:w="4333"/>
      </w:tblGrid>
      <w:tr>
        <w:trPr>
          <w:tblHeader/>
        </w:trPr>
        <w:tc>
          <w:tcPr>
            <w:tcW w:type="dxa" w:w="1806"/>
            <w:shd w:fill="123B5D" w:color="auto" w:val="clear"/>
            <w:tcMar>
              <w:top w:type="dxa" w:w="90"/>
              <w:left w:type="dxa" w:w="120"/>
              <w:bottom w:type="dxa" w:w="90"/>
              <w:right w:type="dxa" w:w="120"/>
            </w:tcMar>
          </w:tcPr>
          <w:p>
            <w:pPr>
              <w:spacing w:after="0"/>
            </w:pPr>
            <w:r>
              <w:rPr>
                <w:b/>
                <w:bCs/>
                <w:color w:val="FFFFFF"/>
                <w:sz w:val="17"/>
                <w:szCs w:val="17"/>
              </w:rPr>
              <w:t xml:space="preserve">Annex A clause</w:t>
            </w:r>
          </w:p>
        </w:tc>
        <w:tc>
          <w:tcPr>
            <w:tcW w:type="dxa" w:w="2889"/>
            <w:shd w:fill="123B5D" w:color="auto" w:val="clear"/>
            <w:tcMar>
              <w:top w:type="dxa" w:w="90"/>
              <w:left w:type="dxa" w:w="120"/>
              <w:bottom w:type="dxa" w:w="90"/>
              <w:right w:type="dxa" w:w="120"/>
            </w:tcMar>
          </w:tcPr>
          <w:p>
            <w:pPr>
              <w:spacing w:after="0"/>
            </w:pPr>
            <w:r>
              <w:rPr>
                <w:b/>
                <w:bCs/>
                <w:color w:val="FFFFFF"/>
                <w:sz w:val="17"/>
                <w:szCs w:val="17"/>
              </w:rPr>
              <w:t xml:space="preserve">Requirement</w:t>
            </w:r>
          </w:p>
        </w:tc>
        <w:tc>
          <w:tcPr>
            <w:tcW w:type="dxa" w:w="4333"/>
            <w:shd w:fill="123B5D" w:color="auto" w:val="clear"/>
            <w:tcMar>
              <w:top w:type="dxa" w:w="90"/>
              <w:left w:type="dxa" w:w="120"/>
              <w:bottom w:type="dxa" w:w="90"/>
              <w:right w:type="dxa" w:w="120"/>
            </w:tcMar>
          </w:tcPr>
          <w:p>
            <w:pPr>
              <w:spacing w:after="0"/>
            </w:pPr>
            <w:r>
              <w:rPr>
                <w:b/>
                <w:bCs/>
                <w:color w:val="FFFFFF"/>
                <w:sz w:val="17"/>
                <w:szCs w:val="17"/>
              </w:rPr>
              <w:t xml:space="preserve">Offered</w:t>
            </w:r>
          </w:p>
        </w:tc>
      </w:tr>
      <w:tr>
        <w:tc>
          <w:tcPr>
            <w:tcW w:type="dxa" w:w="1806"/>
            <w:shd w:fill="FBEFEF" w:color="auto" w:val="clear"/>
            <w:tcMar>
              <w:top w:type="dxa" w:w="90"/>
              <w:left w:type="dxa" w:w="120"/>
              <w:bottom w:type="dxa" w:w="90"/>
              <w:right w:type="dxa" w:w="120"/>
            </w:tcMar>
          </w:tcPr>
          <w:p>
            <w:pPr>
              <w:spacing w:after="0" w:line="264"/>
            </w:pPr>
            <w:r>
              <w:rPr>
                <w:color w:val="1A1A1A"/>
                <w:sz w:val="17"/>
                <w:szCs w:val="17"/>
              </w:rPr>
              <w:t xml:space="preserve">A.05.02(a)</w:t>
            </w:r>
          </w:p>
        </w:tc>
        <w:tc>
          <w:tcPr>
            <w:tcW w:type="dxa" w:w="2889"/>
            <w:shd w:fill="FBEFEF" w:color="auto" w:val="clear"/>
            <w:tcMar>
              <w:top w:type="dxa" w:w="90"/>
              <w:left w:type="dxa" w:w="120"/>
              <w:bottom w:type="dxa" w:w="90"/>
              <w:right w:type="dxa" w:w="120"/>
            </w:tcMar>
          </w:tcPr>
          <w:p>
            <w:pPr>
              <w:spacing w:after="0" w:line="264"/>
            </w:pPr>
            <w:r>
              <w:rPr>
                <w:color w:val="1A1A1A"/>
                <w:sz w:val="17"/>
                <w:szCs w:val="17"/>
              </w:rPr>
              <w:t xml:space="preserve">PCS AC-side current 110 % continuous, 120 % for at least 2 min, preferably 150 % short-term</w:t>
            </w:r>
          </w:p>
        </w:tc>
        <w:tc>
          <w:tcPr>
            <w:tcW w:type="dxa" w:w="4333"/>
            <w:shd w:fill="FBEFEF" w:color="auto" w:val="clear"/>
            <w:tcMar>
              <w:top w:type="dxa" w:w="90"/>
              <w:left w:type="dxa" w:w="120"/>
              <w:bottom w:type="dxa" w:w="90"/>
              <w:right w:type="dxa" w:w="120"/>
            </w:tcMar>
          </w:tcPr>
          <w:p>
            <w:pPr>
              <w:spacing w:after="0" w:line="264"/>
            </w:pPr>
            <w:r>
              <w:rPr>
                <w:color w:val="1A1A1A"/>
                <w:sz w:val="17"/>
                <w:szCs w:val="17"/>
              </w:rPr>
              <w:t xml:space="preserve">NOT MET AS SPECIFIED. The ENPCS2520 Technical Specification V1.0 states: 110 % for 10 minutes at 45 C; 110 % continuous at 40 C; 120 % for 1 minute at 35 C. No 150 % rating is stated. </w:t>
            </w:r>
            <w:r>
              <w:rPr>
                <w:color w:val="C00000"/>
                <w:sz w:val="17"/>
                <w:szCs w:val="17"/>
              </w:rPr>
              <w:t xml:space="preserve">At the +45 C site envelope the converter therefore offers 110 % for ten minutes, not continuously, and 120 % for one minute at 35 C against a requirement of at least two minutes. Unlike the frequency settings below, no adjustability note attaches — these are thermal ratings. Clarification 64 requested exactly this relief and NSO refused. Envision must state what configuration DOES meet A.05.02(a) at site ambient; this is a sizing decision, not a datasheet correction.</w:t>
            </w:r>
          </w:p>
        </w:tc>
      </w:tr>
      <w:tr>
        <w:tc>
          <w:tcPr>
            <w:tcW w:type="dxa" w:w="1806"/>
            <w:shd w:fill="F2F5F7" w:color="auto" w:val="clear"/>
            <w:tcMar>
              <w:top w:type="dxa" w:w="90"/>
              <w:left w:type="dxa" w:w="120"/>
              <w:bottom w:type="dxa" w:w="90"/>
              <w:right w:type="dxa" w:w="120"/>
            </w:tcMar>
          </w:tcPr>
          <w:p>
            <w:pPr>
              <w:spacing w:after="0" w:line="264"/>
            </w:pPr>
            <w:r>
              <w:rPr>
                <w:color w:val="1A1A1A"/>
                <w:sz w:val="17"/>
                <w:szCs w:val="17"/>
              </w:rPr>
              <w:t xml:space="preserve">A.05.02(b)</w:t>
            </w:r>
          </w:p>
        </w:tc>
        <w:tc>
          <w:tcPr>
            <w:tcW w:type="dxa" w:w="2889"/>
            <w:shd w:fill="F2F5F7" w:color="auto" w:val="clear"/>
            <w:tcMar>
              <w:top w:type="dxa" w:w="90"/>
              <w:left w:type="dxa" w:w="120"/>
              <w:bottom w:type="dxa" w:w="90"/>
              <w:right w:type="dxa" w:w="120"/>
            </w:tcMar>
          </w:tcPr>
          <w:p>
            <w:pPr>
              <w:spacing w:after="0" w:line="264"/>
            </w:pPr>
            <w:r>
              <w:rPr>
                <w:color w:val="1A1A1A"/>
                <w:sz w:val="17"/>
                <w:szCs w:val="17"/>
              </w:rPr>
              <w:t xml:space="preserve">Droop settable 1-9 %; default 4 % where NSO specifies none</w:t>
            </w:r>
          </w:p>
        </w:tc>
        <w:tc>
          <w:tcPr>
            <w:tcW w:type="dxa" w:w="4333"/>
            <w:shd w:fill="F2F5F7" w:color="auto" w:val="clear"/>
            <w:tcMar>
              <w:top w:type="dxa" w:w="90"/>
              <w:left w:type="dxa" w:w="120"/>
              <w:bottom w:type="dxa" w:w="90"/>
              <w:right w:type="dxa" w:w="120"/>
            </w:tcMar>
          </w:tcPr>
          <w:p>
            <w:pPr>
              <w:spacing w:after="0" w:line="264"/>
            </w:pPr>
            <w:r>
              <w:rPr>
                <w:color w:val="1A1A1A"/>
                <w:sz w:val="17"/>
                <w:szCs w:val="17"/>
              </w:rPr>
              <w:t xml:space="preserve">Droop settable 1-9 % (filled GTP) - COMPLIES. Default set to 4 %.</w:t>
            </w:r>
          </w:p>
        </w:tc>
      </w:tr>
      <w:tr>
        <w:tc>
          <w:tcPr>
            <w:tcW w:type="dxa" w:w="1806"/>
            <w:shd w:fill="FFFFFF" w:color="auto" w:val="clear"/>
            <w:tcMar>
              <w:top w:type="dxa" w:w="90"/>
              <w:left w:type="dxa" w:w="120"/>
              <w:bottom w:type="dxa" w:w="90"/>
              <w:right w:type="dxa" w:w="120"/>
            </w:tcMar>
          </w:tcPr>
          <w:p>
            <w:pPr>
              <w:spacing w:after="0" w:line="264"/>
            </w:pPr>
            <w:r>
              <w:rPr>
                <w:color w:val="1A1A1A"/>
                <w:sz w:val="17"/>
                <w:szCs w:val="17"/>
              </w:rPr>
              <w:t xml:space="preserve">A.05.02(c)-(d)</w:t>
            </w:r>
          </w:p>
        </w:tc>
        <w:tc>
          <w:tcPr>
            <w:tcW w:type="dxa" w:w="2889"/>
            <w:shd w:fill="FFFFFF" w:color="auto" w:val="clear"/>
            <w:tcMar>
              <w:top w:type="dxa" w:w="90"/>
              <w:left w:type="dxa" w:w="120"/>
              <w:bottom w:type="dxa" w:w="90"/>
              <w:right w:type="dxa" w:w="120"/>
            </w:tcMar>
          </w:tcPr>
          <w:p>
            <w:pPr>
              <w:spacing w:after="0" w:line="264"/>
            </w:pPr>
            <w:r>
              <w:rPr>
                <w:color w:val="1A1A1A"/>
                <w:sz w:val="17"/>
                <w:szCs w:val="17"/>
              </w:rPr>
              <w:t xml:space="preserve">Synthetic inertia through grid-forming control; inertia time constant no less than 20 s; activation at most 5 ms; flexibly adjustable</w:t>
            </w:r>
          </w:p>
        </w:tc>
        <w:tc>
          <w:tcPr>
            <w:tcW w:type="dxa" w:w="4333"/>
            <w:shd w:fill="FFFFFF" w:color="auto" w:val="clear"/>
            <w:tcMar>
              <w:top w:type="dxa" w:w="90"/>
              <w:left w:type="dxa" w:w="120"/>
              <w:bottom w:type="dxa" w:w="90"/>
              <w:right w:type="dxa" w:w="120"/>
            </w:tcMar>
          </w:tcPr>
          <w:p>
            <w:pPr>
              <w:spacing w:after="0" w:line="264"/>
            </w:pPr>
            <w:r>
              <w:rPr>
                <w:color w:val="C00000"/>
                <w:sz w:val="17"/>
                <w:szCs w:val="17"/>
              </w:rPr>
              <w:t xml:space="preserve">Inertia time constant adjustable 2-20 s, factory set at 20 s; inertia response activation under 5 ms, inherent to the voltage-source control and not derived from a frequency or ROCOF measurement. Envision to confirm.</w:t>
            </w:r>
          </w:p>
        </w:tc>
      </w:tr>
      <w:tr>
        <w:tc>
          <w:tcPr>
            <w:tcW w:type="dxa" w:w="1806"/>
            <w:shd w:fill="F2F5F7" w:color="auto" w:val="clear"/>
            <w:tcMar>
              <w:top w:type="dxa" w:w="90"/>
              <w:left w:type="dxa" w:w="120"/>
              <w:bottom w:type="dxa" w:w="90"/>
              <w:right w:type="dxa" w:w="120"/>
            </w:tcMar>
          </w:tcPr>
          <w:p>
            <w:pPr>
              <w:spacing w:after="0" w:line="264"/>
            </w:pPr>
            <w:r>
              <w:rPr>
                <w:color w:val="1A1A1A"/>
                <w:sz w:val="17"/>
                <w:szCs w:val="17"/>
              </w:rPr>
              <w:t xml:space="preserve">A.05.02(e)</w:t>
            </w:r>
          </w:p>
        </w:tc>
        <w:tc>
          <w:tcPr>
            <w:tcW w:type="dxa" w:w="2889"/>
            <w:shd w:fill="F2F5F7" w:color="auto" w:val="clear"/>
            <w:tcMar>
              <w:top w:type="dxa" w:w="90"/>
              <w:left w:type="dxa" w:w="120"/>
              <w:bottom w:type="dxa" w:w="90"/>
              <w:right w:type="dxa" w:w="120"/>
            </w:tcMar>
          </w:tcPr>
          <w:p>
            <w:pPr>
              <w:spacing w:after="0" w:line="264"/>
            </w:pPr>
            <w:r>
              <w:rPr>
                <w:color w:val="1A1A1A"/>
                <w:sz w:val="17"/>
                <w:szCs w:val="17"/>
              </w:rPr>
              <w:t xml:space="preserve">Primary frequency regulation response under 0.2 s; active power adjustment deviation at most 2 %</w:t>
            </w:r>
          </w:p>
        </w:tc>
        <w:tc>
          <w:tcPr>
            <w:tcW w:type="dxa" w:w="4333"/>
            <w:shd w:fill="F2F5F7" w:color="auto" w:val="clear"/>
            <w:tcMar>
              <w:top w:type="dxa" w:w="90"/>
              <w:left w:type="dxa" w:w="120"/>
              <w:bottom w:type="dxa" w:w="90"/>
              <w:right w:type="dxa" w:w="120"/>
            </w:tcMar>
          </w:tcPr>
          <w:p>
            <w:pPr>
              <w:spacing w:after="0" w:line="264"/>
            </w:pPr>
            <w:r>
              <w:rPr>
                <w:color w:val="C00000"/>
                <w:sz w:val="17"/>
                <w:szCs w:val="17"/>
              </w:rPr>
              <w:t xml:space="preserve">Response under 0.2 s; active power adjustment deviation at most 2 % of Pn. Envision to confirm.</w:t>
            </w:r>
          </w:p>
        </w:tc>
      </w:tr>
      <w:tr>
        <w:tc>
          <w:tcPr>
            <w:tcW w:type="dxa" w:w="1806"/>
            <w:shd w:fill="FBEFEF" w:color="auto" w:val="clear"/>
            <w:tcMar>
              <w:top w:type="dxa" w:w="90"/>
              <w:left w:type="dxa" w:w="120"/>
              <w:bottom w:type="dxa" w:w="90"/>
              <w:right w:type="dxa" w:w="120"/>
            </w:tcMar>
          </w:tcPr>
          <w:p>
            <w:pPr>
              <w:spacing w:after="0" w:line="264"/>
            </w:pPr>
            <w:r>
              <w:rPr>
                <w:color w:val="1A1A1A"/>
                <w:sz w:val="17"/>
                <w:szCs w:val="17"/>
              </w:rPr>
              <w:t xml:space="preserve">A.05.04</w:t>
            </w:r>
          </w:p>
        </w:tc>
        <w:tc>
          <w:tcPr>
            <w:tcW w:type="dxa" w:w="2889"/>
            <w:shd w:fill="FBEFEF" w:color="auto" w:val="clear"/>
            <w:tcMar>
              <w:top w:type="dxa" w:w="90"/>
              <w:left w:type="dxa" w:w="120"/>
              <w:bottom w:type="dxa" w:w="90"/>
              <w:right w:type="dxa" w:w="120"/>
            </w:tcMar>
          </w:tcPr>
          <w:p>
            <w:pPr>
              <w:spacing w:after="0" w:line="264"/>
            </w:pPr>
            <w:r>
              <w:rPr>
                <w:color w:val="1A1A1A"/>
                <w:sz w:val="17"/>
                <w:szCs w:val="17"/>
              </w:rPr>
              <w:t xml:space="preserve">Steady-state 47-52 Hz; extremes 45-55 Hz; 10 s ride-through in the band 47.0 &gt; f &gt;= 45.0</w:t>
            </w:r>
          </w:p>
        </w:tc>
        <w:tc>
          <w:tcPr>
            <w:tcW w:type="dxa" w:w="4333"/>
            <w:shd w:fill="FBEFEF" w:color="auto" w:val="clear"/>
            <w:tcMar>
              <w:top w:type="dxa" w:w="90"/>
              <w:left w:type="dxa" w:w="120"/>
              <w:bottom w:type="dxa" w:w="90"/>
              <w:right w:type="dxa" w:w="120"/>
            </w:tcMar>
          </w:tcPr>
          <w:p>
            <w:pPr>
              <w:spacing w:after="0" w:line="264"/>
            </w:pPr>
            <w:r>
              <w:rPr>
                <w:color w:val="1A1A1A"/>
                <w:sz w:val="17"/>
                <w:szCs w:val="17"/>
              </w:rPr>
              <w:t xml:space="preserve">NOT MET AS DELIVERED — verified from three sources. The supplied dynamic record sets 47.5 Hz / 1800 s and 46.9 Hz / 0.04 s under-frequency, and 51.5 Hz / 1800 s and 52.1 Hz / 0.04 s over-frequency; the PSS(R)E UDM manual V1.4a confirms these CONs trip the PCS; and the ENPCS2520 specification Table 3 states the same in words — between 47 and 47.5 Hz a CHARGING PCS separates from the grid within 0.2 s, and a discharging one operates only 30 minutes (the 1800 s in the record). </w:t>
            </w:r>
            <w:r>
              <w:rPr>
                <w:color w:val="C00000"/>
                <w:sz w:val="17"/>
                <w:szCs w:val="17"/>
              </w:rPr>
              <w:t xml:space="preserve">Annex A A.05.04 requires CONTINUOUS operation across 47-52 Hz, and 10 s ride-through between 47.0 and 45.0 Hz where the record trips in 0.04 s. REMEDY, stated by Envision's own specification: 'The PCS software parameters can be adjusted to the local grid code frequency protection requirements.' Envision to re-issue the protection settings to A.05.04 and re-supply the dynamic record carrying them — the model submitted with the bid currently carries the non-compliant settings.</w:t>
            </w:r>
          </w:p>
        </w:tc>
      </w:tr>
      <w:tr>
        <w:tc>
          <w:tcPr>
            <w:tcW w:type="dxa" w:w="1806"/>
            <w:shd w:fill="F2F5F7" w:color="auto" w:val="clear"/>
            <w:tcMar>
              <w:top w:type="dxa" w:w="90"/>
              <w:left w:type="dxa" w:w="120"/>
              <w:bottom w:type="dxa" w:w="90"/>
              <w:right w:type="dxa" w:w="120"/>
            </w:tcMar>
          </w:tcPr>
          <w:p>
            <w:pPr>
              <w:spacing w:after="0" w:line="264"/>
            </w:pPr>
            <w:r>
              <w:rPr>
                <w:color w:val="1A1A1A"/>
                <w:sz w:val="17"/>
                <w:szCs w:val="17"/>
              </w:rPr>
              <w:t xml:space="preserve">A.05.17(d)</w:t>
            </w:r>
          </w:p>
        </w:tc>
        <w:tc>
          <w:tcPr>
            <w:tcW w:type="dxa" w:w="2889"/>
            <w:shd w:fill="F2F5F7" w:color="auto" w:val="clear"/>
            <w:tcMar>
              <w:top w:type="dxa" w:w="90"/>
              <w:left w:type="dxa" w:w="120"/>
              <w:bottom w:type="dxa" w:w="90"/>
              <w:right w:type="dxa" w:w="120"/>
            </w:tcMar>
          </w:tcPr>
          <w:p>
            <w:pPr>
              <w:spacing w:after="0" w:line="264"/>
            </w:pPr>
            <w:r>
              <w:rPr>
                <w:color w:val="1A1A1A"/>
                <w:sz w:val="17"/>
                <w:szCs w:val="17"/>
              </w:rPr>
              <w:t xml:space="preserve">Autonomous damping of 0.2-2.5 Hz oscillations; active power variation limited to 10-30 % Pn</w:t>
            </w:r>
          </w:p>
        </w:tc>
        <w:tc>
          <w:tcPr>
            <w:tcW w:type="dxa" w:w="4333"/>
            <w:shd w:fill="F2F5F7" w:color="auto" w:val="clear"/>
            <w:tcMar>
              <w:top w:type="dxa" w:w="90"/>
              <w:left w:type="dxa" w:w="120"/>
              <w:bottom w:type="dxa" w:w="90"/>
              <w:right w:type="dxa" w:w="120"/>
            </w:tcMar>
          </w:tcPr>
          <w:p>
            <w:pPr>
              <w:spacing w:after="0" w:line="264"/>
            </w:pPr>
            <w:r>
              <w:rPr>
                <w:color w:val="C00000"/>
                <w:sz w:val="17"/>
                <w:szCs w:val="17"/>
              </w:rPr>
              <w:t xml:space="preserve">Autonomous power-oscillation damping across 0.2-2.5 Hz, active power variation limited to 10-30 % Pn, enabled by default. Envision to confirm.</w:t>
            </w:r>
          </w:p>
        </w:tc>
      </w:tr>
      <w:tr>
        <w:tc>
          <w:tcPr>
            <w:tcW w:type="dxa" w:w="1806"/>
            <w:shd w:fill="FFFFFF" w:color="auto" w:val="clear"/>
            <w:tcMar>
              <w:top w:type="dxa" w:w="90"/>
              <w:left w:type="dxa" w:w="120"/>
              <w:bottom w:type="dxa" w:w="90"/>
              <w:right w:type="dxa" w:w="120"/>
            </w:tcMar>
          </w:tcPr>
          <w:p>
            <w:pPr>
              <w:spacing w:after="0" w:line="264"/>
            </w:pPr>
            <w:r>
              <w:rPr>
                <w:color w:val="1A1A1A"/>
                <w:sz w:val="17"/>
                <w:szCs w:val="17"/>
              </w:rPr>
              <w:t xml:space="preserve">A.05.17(h)</w:t>
            </w:r>
          </w:p>
        </w:tc>
        <w:tc>
          <w:tcPr>
            <w:tcW w:type="dxa" w:w="2889"/>
            <w:shd w:fill="FFFFFF" w:color="auto" w:val="clear"/>
            <w:tcMar>
              <w:top w:type="dxa" w:w="90"/>
              <w:left w:type="dxa" w:w="120"/>
              <w:bottom w:type="dxa" w:w="90"/>
              <w:right w:type="dxa" w:w="120"/>
            </w:tcMar>
          </w:tcPr>
          <w:p>
            <w:pPr>
              <w:spacing w:after="0" w:line="264"/>
            </w:pPr>
            <w:r>
              <w:rPr>
                <w:color w:val="1A1A1A"/>
                <w:sz w:val="17"/>
                <w:szCs w:val="17"/>
              </w:rPr>
              <w:t xml:space="preserve">AGC range -100 % to +100 % Pn, steady-state active deviation at most 2 % Pn; AVC steady-state reactive deviation at most 2 % Pn</w:t>
            </w:r>
          </w:p>
        </w:tc>
        <w:tc>
          <w:tcPr>
            <w:tcW w:type="dxa" w:w="4333"/>
            <w:shd w:fill="FFFFFF" w:color="auto" w:val="clear"/>
            <w:tcMar>
              <w:top w:type="dxa" w:w="90"/>
              <w:left w:type="dxa" w:w="120"/>
              <w:bottom w:type="dxa" w:w="90"/>
              <w:right w:type="dxa" w:w="120"/>
            </w:tcMar>
          </w:tcPr>
          <w:p>
            <w:pPr>
              <w:spacing w:after="0" w:line="264"/>
            </w:pPr>
            <w:r>
              <w:rPr>
                <w:color w:val="C00000"/>
                <w:sz w:val="17"/>
                <w:szCs w:val="17"/>
              </w:rPr>
              <w:t xml:space="preserve">AGC -100 % to +100 % Pn with steady-state deviation at most 2 % Pn; AVC steady-state reactive deviation at most 2 % Pn. Envision to confirm.</w:t>
            </w:r>
          </w:p>
        </w:tc>
      </w:tr>
      <w:tr>
        <w:tc>
          <w:tcPr>
            <w:tcW w:type="dxa" w:w="1806"/>
            <w:shd w:fill="F2F5F7" w:color="auto" w:val="clear"/>
            <w:tcMar>
              <w:top w:type="dxa" w:w="90"/>
              <w:left w:type="dxa" w:w="120"/>
              <w:bottom w:type="dxa" w:w="90"/>
              <w:right w:type="dxa" w:w="120"/>
            </w:tcMar>
          </w:tcPr>
          <w:p>
            <w:pPr>
              <w:spacing w:after="0" w:line="264"/>
            </w:pPr>
            <w:r>
              <w:rPr>
                <w:color w:val="1A1A1A"/>
                <w:sz w:val="17"/>
                <w:szCs w:val="17"/>
              </w:rPr>
              <w:t xml:space="preserve">A.05.17(j)</w:t>
            </w:r>
          </w:p>
        </w:tc>
        <w:tc>
          <w:tcPr>
            <w:tcW w:type="dxa" w:w="2889"/>
            <w:shd w:fill="F2F5F7" w:color="auto" w:val="clear"/>
            <w:tcMar>
              <w:top w:type="dxa" w:w="90"/>
              <w:left w:type="dxa" w:w="120"/>
              <w:bottom w:type="dxa" w:w="90"/>
              <w:right w:type="dxa" w:w="120"/>
            </w:tcMar>
          </w:tcPr>
          <w:p>
            <w:pPr>
              <w:spacing w:after="0" w:line="264"/>
            </w:pPr>
            <w:r>
              <w:rPr>
                <w:color w:val="1A1A1A"/>
                <w:sz w:val="17"/>
                <w:szCs w:val="17"/>
              </w:rPr>
              <w:t xml:space="preserve">GFL stable at SCR &gt;= 1.2; GFM stable at SCR &gt;= 1.0</w:t>
            </w:r>
          </w:p>
        </w:tc>
        <w:tc>
          <w:tcPr>
            <w:tcW w:type="dxa" w:w="4333"/>
            <w:shd w:fill="F2F5F7" w:color="auto" w:val="clear"/>
            <w:tcMar>
              <w:top w:type="dxa" w:w="90"/>
              <w:left w:type="dxa" w:w="120"/>
              <w:bottom w:type="dxa" w:w="90"/>
              <w:right w:type="dxa" w:w="120"/>
            </w:tcMar>
          </w:tcPr>
          <w:p>
            <w:pPr>
              <w:spacing w:after="0" w:line="264"/>
            </w:pPr>
            <w:r>
              <w:rPr>
                <w:color w:val="C00000"/>
                <w:sz w:val="17"/>
                <w:szCs w:val="17"/>
              </w:rPr>
              <w:t xml:space="preserve">Both met. Evidence by EMT simulation at section 8.</w:t>
            </w:r>
          </w:p>
        </w:tc>
      </w:tr>
      <w:tr>
        <w:tc>
          <w:tcPr>
            <w:tcW w:type="dxa" w:w="1806"/>
            <w:shd w:fill="FFFFFF" w:color="auto" w:val="clear"/>
            <w:tcMar>
              <w:top w:type="dxa" w:w="90"/>
              <w:left w:type="dxa" w:w="120"/>
              <w:bottom w:type="dxa" w:w="90"/>
              <w:right w:type="dxa" w:w="120"/>
            </w:tcMar>
          </w:tcPr>
          <w:p>
            <w:pPr>
              <w:spacing w:after="0" w:line="264"/>
            </w:pPr>
            <w:r>
              <w:rPr>
                <w:color w:val="1A1A1A"/>
                <w:sz w:val="17"/>
                <w:szCs w:val="17"/>
              </w:rPr>
              <w:t xml:space="preserve">A.05.18</w:t>
            </w:r>
          </w:p>
        </w:tc>
        <w:tc>
          <w:tcPr>
            <w:tcW w:type="dxa" w:w="2889"/>
            <w:shd w:fill="FFFFFF" w:color="auto" w:val="clear"/>
            <w:tcMar>
              <w:top w:type="dxa" w:w="90"/>
              <w:left w:type="dxa" w:w="120"/>
              <w:bottom w:type="dxa" w:w="90"/>
              <w:right w:type="dxa" w:w="120"/>
            </w:tcMar>
          </w:tcPr>
          <w:p>
            <w:pPr>
              <w:spacing w:after="0" w:line="264"/>
            </w:pPr>
            <w:r>
              <w:rPr>
                <w:color w:val="1A1A1A"/>
                <w:sz w:val="17"/>
                <w:szCs w:val="17"/>
              </w:rPr>
              <w:t xml:space="preserve">Fault-current contribution bounded by the breaker capability NSO specifies; withstand per A.04</w:t>
            </w:r>
          </w:p>
        </w:tc>
        <w:tc>
          <w:tcPr>
            <w:tcW w:type="dxa" w:w="4333"/>
            <w:shd w:fill="FFFFFF" w:color="auto" w:val="clear"/>
            <w:tcMar>
              <w:top w:type="dxa" w:w="90"/>
              <w:left w:type="dxa" w:w="120"/>
              <w:bottom w:type="dxa" w:w="90"/>
              <w:right w:type="dxa" w:w="120"/>
            </w:tcMar>
          </w:tcPr>
          <w:p>
            <w:pPr>
              <w:spacing w:after="0" w:line="264"/>
            </w:pPr>
            <w:r>
              <w:rPr>
                <w:color w:val="C00000"/>
                <w:sz w:val="17"/>
                <w:szCs w:val="17"/>
              </w:rPr>
              <w:t xml:space="preserve">Fault contribution within the 25 kA maximum three-phase fault current at the POC, with withstand for the 550 ms breaker-failure clearing time. Envision to state the contribution magnitude, duration and current-limiting behaviour.</w:t>
            </w:r>
          </w:p>
        </w:tc>
      </w:tr>
    </w:tbl>
    <w:p>
      <w:pPr>
        <w:spacing w:after="120" w:line="276"/>
      </w:pPr>
      <w:r>
        <w:rPr>
          <w:i/>
          <w:iCs/>
          <w:color w:val="5A6472"/>
          <w:sz w:val="16"/>
          <w:szCs w:val="16"/>
        </w:rPr>
        <w:t xml:space="preserve">Source: Annex A Functional and Performance Requirement; filled Volume 2 GTP; clarification register items 29, 59, 64.</w:t>
      </w:r>
    </w:p>
    <w:p>
      <w:pPr>
        <w:pStyle w:val="Heading1"/>
        <w:spacing w:after="140" w:before="320"/>
      </w:pPr>
      <w:r>
        <w:rPr>
          <w:b/>
          <w:bCs/>
          <w:color w:val="123B5D"/>
          <w:sz w:val="26"/>
          <w:szCs w:val="26"/>
        </w:rPr>
        <w:t xml:space="preserve">9. Dynamic simulation models</w:t>
      </w:r>
    </w:p>
    <w:tbl>
      <w:tblPr>
        <w:tblW w:type="dxa" w:w="9028"/>
        <w:tblBorders>
          <w:top w:val="none" w:color="auto" w:sz="0"/>
          <w:left w:val="single" w:color="123B5D" w:sz="18"/>
          <w:bottom w:val="none" w:color="auto" w:sz="0"/>
          <w:right w:val="none" w:color="auto" w:sz="0"/>
          <w:insideH w:val="none" w:color="auto" w:sz="0"/>
          <w:insideV w:val="none" w:color="auto" w:sz="0"/>
        </w:tblBorders>
      </w:tblPr>
      <w:tblGrid>
        <w:gridCol w:w="9028"/>
      </w:tblGrid>
      <w:tr>
        <w:tc>
          <w:tcPr>
            <w:tcW w:type="dxa" w:w="9028"/>
            <w:shd w:fill="F2F5F7" w:color="auto" w:val="clear"/>
            <w:tcMar>
              <w:top w:type="dxa" w:w="140"/>
              <w:left w:type="dxa" w:w="180"/>
              <w:bottom w:type="dxa" w:w="140"/>
              <w:right w:type="dxa" w:w="180"/>
            </w:tcMar>
          </w:tcPr>
          <w:p>
            <w:pPr>
              <w:spacing w:after="0" w:line="264"/>
            </w:pPr>
            <w:r>
              <w:rPr>
                <w:b/>
                <w:bCs/>
                <w:color w:val="1A1A1A"/>
                <w:sz w:val="18"/>
                <w:szCs w:val="18"/>
              </w:rPr>
              <w:t xml:space="preserve">BLACK = sourced from a received document | RED = drafted gap-fill, unverified, for Envision to confirm or replace</w:t>
            </w:r>
          </w:p>
        </w:tc>
      </w:tr>
    </w:tbl>
    <w:p>
      <w:pPr>
        <w:spacing w:after="120" w:line="276"/>
      </w:pPr>
      <w:r>
        <w:t xml:space="preserve"/>
      </w:r>
    </w:p>
    <w:p>
      <w:pPr>
        <w:spacing w:after="120" w:line="276"/>
      </w:pPr>
      <w:r>
        <w:rPr>
          <w:color w:val="1A1A1A"/>
          <w:sz w:val="19"/>
          <w:szCs w:val="19"/>
        </w:rPr>
        <w:t xml:space="preserve">Annex A A.05.23(d) states the bid-stage minimum as an ALTERNATIVE: either initial non-site-specific models in both PSS(R)E and PSCAD/EMTDC formats with the tender, OR test results demonstrating V/P/Q response through deep and shallow faults and a +50-degree phase-angle step at SCR 1, 3, 5 and 10 with X/R 5. Failure to meet at least one may result in rejection of the technical proposal. Addendum No. 01 item 14 writes the same either/or into the Volume II Section 5 Compliance Schedule as new item 12. Envision holds both models, so route (I) is satisfied at bid stage.</w:t>
      </w:r>
    </w:p>
    <w:tbl>
      <w:tblPr>
        <w:tblW w:type="dxa" w:w="9028"/>
        <w:tblBorders>
          <w:top w:val="single" w:color="C9D2DA" w:sz="6"/>
          <w:left w:val="none" w:color="auto" w:sz="0"/>
          <w:bottom w:val="single" w:color="C9D2DA" w:sz="6"/>
          <w:right w:val="none" w:color="auto" w:sz="0"/>
          <w:insideH w:val="single" w:color="C9D2DA" w:sz="4"/>
          <w:insideV w:val="none" w:color="auto" w:sz="0"/>
        </w:tblBorders>
      </w:tblPr>
      <w:tblGrid>
        <w:gridCol w:w="1806"/>
        <w:gridCol w:w="2889"/>
        <w:gridCol w:w="4333"/>
      </w:tblGrid>
      <w:tr>
        <w:trPr>
          <w:tblHeader/>
        </w:trPr>
        <w:tc>
          <w:tcPr>
            <w:tcW w:type="dxa" w:w="1806"/>
            <w:shd w:fill="123B5D" w:color="auto" w:val="clear"/>
            <w:tcMar>
              <w:top w:type="dxa" w:w="90"/>
              <w:left w:type="dxa" w:w="120"/>
              <w:bottom w:type="dxa" w:w="90"/>
              <w:right w:type="dxa" w:w="120"/>
            </w:tcMar>
          </w:tcPr>
          <w:p>
            <w:pPr>
              <w:spacing w:after="0"/>
            </w:pPr>
            <w:r>
              <w:rPr>
                <w:b/>
                <w:bCs/>
                <w:color w:val="FFFFFF"/>
                <w:sz w:val="17"/>
                <w:szCs w:val="17"/>
              </w:rPr>
              <w:t xml:space="preserve">Deliverable</w:t>
            </w:r>
          </w:p>
        </w:tc>
        <w:tc>
          <w:tcPr>
            <w:tcW w:type="dxa" w:w="2889"/>
            <w:shd w:fill="123B5D" w:color="auto" w:val="clear"/>
            <w:tcMar>
              <w:top w:type="dxa" w:w="90"/>
              <w:left w:type="dxa" w:w="120"/>
              <w:bottom w:type="dxa" w:w="90"/>
              <w:right w:type="dxa" w:w="120"/>
            </w:tcMar>
          </w:tcPr>
          <w:p>
            <w:pPr>
              <w:spacing w:after="0"/>
            </w:pPr>
            <w:r>
              <w:rPr>
                <w:b/>
                <w:bCs/>
                <w:color w:val="FFFFFF"/>
                <w:sz w:val="17"/>
                <w:szCs w:val="17"/>
              </w:rPr>
              <w:t xml:space="preserve">Status</w:t>
            </w:r>
          </w:p>
        </w:tc>
        <w:tc>
          <w:tcPr>
            <w:tcW w:type="dxa" w:w="4333"/>
            <w:shd w:fill="123B5D" w:color="auto" w:val="clear"/>
            <w:tcMar>
              <w:top w:type="dxa" w:w="90"/>
              <w:left w:type="dxa" w:w="120"/>
              <w:bottom w:type="dxa" w:w="90"/>
              <w:right w:type="dxa" w:w="120"/>
            </w:tcMar>
          </w:tcPr>
          <w:p>
            <w:pPr>
              <w:spacing w:after="0"/>
            </w:pPr>
            <w:r>
              <w:rPr>
                <w:b/>
                <w:bCs/>
                <w:color w:val="FFFFFF"/>
                <w:sz w:val="17"/>
                <w:szCs w:val="17"/>
              </w:rPr>
              <w:t xml:space="preserve">Particulars</w:t>
            </w:r>
          </w:p>
        </w:tc>
      </w:tr>
      <w:tr>
        <w:tc>
          <w:tcPr>
            <w:tcW w:type="dxa" w:w="1806"/>
            <w:shd w:fill="FFFFFF" w:color="auto" w:val="clear"/>
            <w:tcMar>
              <w:top w:type="dxa" w:w="90"/>
              <w:left w:type="dxa" w:w="120"/>
              <w:bottom w:type="dxa" w:w="90"/>
              <w:right w:type="dxa" w:w="120"/>
            </w:tcMar>
          </w:tcPr>
          <w:p>
            <w:pPr>
              <w:spacing w:after="0" w:line="264"/>
            </w:pPr>
            <w:r>
              <w:rPr>
                <w:color w:val="1A1A1A"/>
                <w:sz w:val="17"/>
                <w:szCs w:val="17"/>
              </w:rPr>
              <w:t xml:space="preserve">PSS(R)E RMS model</w:t>
            </w:r>
          </w:p>
        </w:tc>
        <w:tc>
          <w:tcPr>
            <w:tcW w:type="dxa" w:w="2889"/>
            <w:shd w:fill="FFFFFF" w:color="auto" w:val="clear"/>
            <w:tcMar>
              <w:top w:type="dxa" w:w="90"/>
              <w:left w:type="dxa" w:w="120"/>
              <w:bottom w:type="dxa" w:w="90"/>
              <w:right w:type="dxa" w:w="120"/>
            </w:tcMar>
          </w:tcPr>
          <w:p>
            <w:pPr>
              <w:spacing w:after="0" w:line="264"/>
            </w:pPr>
            <w:r>
              <w:rPr>
                <w:color w:val="1A1A1A"/>
                <w:sz w:val="17"/>
                <w:szCs w:val="17"/>
              </w:rPr>
              <w:t xml:space="preserve">HELD - submitted</w:t>
            </w:r>
          </w:p>
        </w:tc>
        <w:tc>
          <w:tcPr>
            <w:tcW w:type="dxa" w:w="4333"/>
            <w:shd w:fill="FFFFFF" w:color="auto" w:val="clear"/>
            <w:tcMar>
              <w:top w:type="dxa" w:w="90"/>
              <w:left w:type="dxa" w:w="120"/>
              <w:bottom w:type="dxa" w:w="90"/>
              <w:right w:type="dxa" w:w="120"/>
            </w:tcMar>
          </w:tcPr>
          <w:p>
            <w:pPr>
              <w:spacing w:after="0" w:line="264"/>
            </w:pPr>
            <w:r>
              <w:rPr>
                <w:color w:val="1A1A1A"/>
                <w:sz w:val="17"/>
                <w:szCs w:val="17"/>
              </w:rPr>
              <w:t xml:space="preserve">ENVSG01_20260327_PSSE_V35.dll (grid-forming PCS), ENPPC_260415_PSSE_V35.dll (PPC), and the Sri-Lanka dynamic record ENVSG_PPC_2520_260416_LKA.dyr instantiating ENGFM01 (2520 kW base) and BNPPC_GFMV3. Manual V1.4a, 11 August 2026. Runs in PSS(R)E 35.x as A.05.23(c) requires.</w:t>
            </w:r>
          </w:p>
        </w:tc>
      </w:tr>
      <w:tr>
        <w:tc>
          <w:tcPr>
            <w:tcW w:type="dxa" w:w="1806"/>
            <w:shd w:fill="FBEFEF" w:color="auto" w:val="clear"/>
            <w:tcMar>
              <w:top w:type="dxa" w:w="90"/>
              <w:left w:type="dxa" w:w="120"/>
              <w:bottom w:type="dxa" w:w="90"/>
              <w:right w:type="dxa" w:w="120"/>
            </w:tcMar>
          </w:tcPr>
          <w:p>
            <w:pPr>
              <w:spacing w:after="0" w:line="264"/>
            </w:pPr>
            <w:r>
              <w:rPr>
                <w:color w:val="1A1A1A"/>
                <w:sz w:val="17"/>
                <w:szCs w:val="17"/>
              </w:rPr>
              <w:t xml:space="preserve">PSCAD/EMTDC EMT model</w:t>
            </w:r>
          </w:p>
        </w:tc>
        <w:tc>
          <w:tcPr>
            <w:tcW w:type="dxa" w:w="2889"/>
            <w:shd w:fill="FBEFEF" w:color="auto" w:val="clear"/>
            <w:tcMar>
              <w:top w:type="dxa" w:w="90"/>
              <w:left w:type="dxa" w:w="120"/>
              <w:bottom w:type="dxa" w:w="90"/>
              <w:right w:type="dxa" w:w="120"/>
            </w:tcMar>
          </w:tcPr>
          <w:p>
            <w:pPr>
              <w:spacing w:after="0" w:line="264"/>
            </w:pPr>
            <w:r>
              <w:rPr>
                <w:color w:val="1A1A1A"/>
                <w:sz w:val="17"/>
                <w:szCs w:val="17"/>
              </w:rPr>
              <w:t xml:space="preserve">HELD - but grid-FOLLOWING variant</w:t>
            </w:r>
          </w:p>
        </w:tc>
        <w:tc>
          <w:tcPr>
            <w:tcW w:type="dxa" w:w="4333"/>
            <w:shd w:fill="FBEFEF" w:color="auto" w:val="clear"/>
            <w:tcMar>
              <w:top w:type="dxa" w:w="90"/>
              <w:left w:type="dxa" w:w="120"/>
              <w:bottom w:type="dxa" w:w="90"/>
              <w:right w:type="dxa" w:w="120"/>
            </w:tcMar>
          </w:tcPr>
          <w:p>
            <w:pPr>
              <w:spacing w:after="0" w:line="264"/>
            </w:pPr>
            <w:r>
              <w:rPr>
                <w:color w:val="1A1A1A"/>
                <w:sz w:val="17"/>
                <w:szCs w:val="17"/>
              </w:rPr>
              <w:t xml:space="preserve">PCS2520x4_UPPC_x64_260605aBB.pscx (4 x ENPCS2520 at 690 V / 50 Hz on one 10.1 MVA skid), PCSControllerInterface.dll, five .obj and one .lib interface objects. Requires PSCAD V5.0 with Intel Fortran XE 15+, 1-200 us timestep, 50 us recommended - meets A.05.23(c).</w:t>
            </w:r>
          </w:p>
        </w:tc>
      </w:tr>
      <w:tr>
        <w:tc>
          <w:tcPr>
            <w:tcW w:type="dxa" w:w="1806"/>
            <w:shd w:fill="FBEFEF" w:color="auto" w:val="clear"/>
            <w:tcMar>
              <w:top w:type="dxa" w:w="90"/>
              <w:left w:type="dxa" w:w="120"/>
              <w:bottom w:type="dxa" w:w="90"/>
              <w:right w:type="dxa" w:w="120"/>
            </w:tcMar>
          </w:tcPr>
          <w:p>
            <w:pPr>
              <w:spacing w:after="0" w:line="264"/>
            </w:pPr>
            <w:r>
              <w:rPr>
                <w:color w:val="1A1A1A"/>
                <w:sz w:val="17"/>
                <w:szCs w:val="17"/>
              </w:rPr>
              <w:t xml:space="preserve">Grid-forming EMT model</w:t>
            </w:r>
          </w:p>
        </w:tc>
        <w:tc>
          <w:tcPr>
            <w:tcW w:type="dxa" w:w="2889"/>
            <w:shd w:fill="FBEFEF" w:color="auto" w:val="clear"/>
            <w:tcMar>
              <w:top w:type="dxa" w:w="90"/>
              <w:left w:type="dxa" w:w="120"/>
              <w:bottom w:type="dxa" w:w="90"/>
              <w:right w:type="dxa" w:w="120"/>
            </w:tcMar>
          </w:tcPr>
          <w:p>
            <w:pPr>
              <w:spacing w:after="0" w:line="264"/>
            </w:pPr>
            <w:r>
              <w:rPr>
                <w:color w:val="C00000"/>
                <w:sz w:val="17"/>
                <w:szCs w:val="17"/>
              </w:rPr>
              <w:t xml:space="preserve">REQUIRED - not held</w:t>
            </w:r>
          </w:p>
        </w:tc>
        <w:tc>
          <w:tcPr>
            <w:tcW w:type="dxa" w:w="4333"/>
            <w:shd w:fill="FBEFEF" w:color="auto" w:val="clear"/>
            <w:tcMar>
              <w:top w:type="dxa" w:w="90"/>
              <w:left w:type="dxa" w:w="120"/>
              <w:bottom w:type="dxa" w:w="90"/>
              <w:right w:type="dxa" w:w="120"/>
            </w:tcMar>
          </w:tcPr>
          <w:p>
            <w:pPr>
              <w:spacing w:after="0" w:line="264"/>
            </w:pPr>
            <w:r>
              <w:rPr>
                <w:color w:val="C00000"/>
                <w:sz w:val="17"/>
                <w:szCs w:val="17"/>
              </w:rPr>
              <w:t xml:space="preserve">The EMT model supplied is titled for the GFL PCS variant, its model block is labelled GFL-PCS, and the converter is represented as a CURRENT SOURCE. A current-source model cannot demonstrate voltage-source behaviour under fault, and the PSS(R)E grid-forming manual itself records that EMT is the better tool for fault ride-through. Envision to confirm whether a grid-forming PSCAD model of the ENPCS2520 exists and to issue it. If none exists, that answer is needed immediately.</w:t>
            </w:r>
          </w:p>
        </w:tc>
      </w:tr>
      <w:tr>
        <w:tc>
          <w:tcPr>
            <w:tcW w:type="dxa" w:w="1806"/>
            <w:shd w:fill="F2F5F7" w:color="auto" w:val="clear"/>
            <w:tcMar>
              <w:top w:type="dxa" w:w="90"/>
              <w:left w:type="dxa" w:w="120"/>
              <w:bottom w:type="dxa" w:w="90"/>
              <w:right w:type="dxa" w:w="120"/>
            </w:tcMar>
          </w:tcPr>
          <w:p>
            <w:pPr>
              <w:spacing w:after="0" w:line="264"/>
            </w:pPr>
            <w:r>
              <w:rPr>
                <w:color w:val="1A1A1A"/>
                <w:sz w:val="17"/>
                <w:szCs w:val="17"/>
              </w:rPr>
              <w:t xml:space="preserve">SCR sweep and phase step</w:t>
            </w:r>
          </w:p>
        </w:tc>
        <w:tc>
          <w:tcPr>
            <w:tcW w:type="dxa" w:w="2889"/>
            <w:shd w:fill="F2F5F7" w:color="auto" w:val="clear"/>
            <w:tcMar>
              <w:top w:type="dxa" w:w="90"/>
              <w:left w:type="dxa" w:w="120"/>
              <w:bottom w:type="dxa" w:w="90"/>
              <w:right w:type="dxa" w:w="120"/>
            </w:tcMar>
          </w:tcPr>
          <w:p>
            <w:pPr>
              <w:spacing w:after="0" w:line="264"/>
            </w:pPr>
            <w:r>
              <w:rPr>
                <w:color w:val="C00000"/>
                <w:sz w:val="17"/>
                <w:szCs w:val="17"/>
              </w:rPr>
              <w:t xml:space="preserve">Post-award deliverable</w:t>
            </w:r>
          </w:p>
        </w:tc>
        <w:tc>
          <w:tcPr>
            <w:tcW w:type="dxa" w:w="4333"/>
            <w:shd w:fill="F2F5F7" w:color="auto" w:val="clear"/>
            <w:tcMar>
              <w:top w:type="dxa" w:w="90"/>
              <w:left w:type="dxa" w:w="120"/>
              <w:bottom w:type="dxa" w:w="90"/>
              <w:right w:type="dxa" w:w="120"/>
            </w:tcMar>
          </w:tcPr>
          <w:p>
            <w:pPr>
              <w:spacing w:after="0" w:line="264"/>
            </w:pPr>
            <w:r>
              <w:rPr>
                <w:color w:val="C00000"/>
                <w:sz w:val="17"/>
                <w:szCs w:val="17"/>
              </w:rPr>
              <w:t xml:space="preserve">V/P/Q traces through deep and shallow faults and a +50-degree phase-angle step at SCR 1, 3, 5 and 10 with X/R 5, plus the A.05.17(j) grid-forming case at SCR 1.0. Not required at bid stage where both models are submitted. Due within one month of ESA execution - 14 January 2027 - under Addendum No. 01 item 12.</w:t>
            </w:r>
          </w:p>
        </w:tc>
      </w:tr>
      <w:tr>
        <w:tc>
          <w:tcPr>
            <w:tcW w:type="dxa" w:w="1806"/>
            <w:shd w:fill="FFFFFF" w:color="auto" w:val="clear"/>
            <w:tcMar>
              <w:top w:type="dxa" w:w="90"/>
              <w:left w:type="dxa" w:w="120"/>
              <w:bottom w:type="dxa" w:w="90"/>
              <w:right w:type="dxa" w:w="120"/>
            </w:tcMar>
          </w:tcPr>
          <w:p>
            <w:pPr>
              <w:spacing w:after="0" w:line="264"/>
            </w:pPr>
            <w:r>
              <w:rPr>
                <w:color w:val="1A1A1A"/>
                <w:sz w:val="17"/>
                <w:szCs w:val="17"/>
              </w:rPr>
              <w:t xml:space="preserve">PowerFactory models</w:t>
            </w:r>
          </w:p>
        </w:tc>
        <w:tc>
          <w:tcPr>
            <w:tcW w:type="dxa" w:w="2889"/>
            <w:shd w:fill="FFFFFF" w:color="auto" w:val="clear"/>
            <w:tcMar>
              <w:top w:type="dxa" w:w="90"/>
              <w:left w:type="dxa" w:w="120"/>
              <w:bottom w:type="dxa" w:w="90"/>
              <w:right w:type="dxa" w:w="120"/>
            </w:tcMar>
          </w:tcPr>
          <w:p>
            <w:pPr>
              <w:spacing w:after="0" w:line="264"/>
            </w:pPr>
            <w:r>
              <w:rPr>
                <w:color w:val="1A1A1A"/>
                <w:sz w:val="17"/>
                <w:szCs w:val="17"/>
              </w:rPr>
              <w:t xml:space="preserve">NOT required</w:t>
            </w:r>
          </w:p>
        </w:tc>
        <w:tc>
          <w:tcPr>
            <w:tcW w:type="dxa" w:w="4333"/>
            <w:shd w:fill="FFFFFF" w:color="auto" w:val="clear"/>
            <w:tcMar>
              <w:top w:type="dxa" w:w="90"/>
              <w:left w:type="dxa" w:w="120"/>
              <w:bottom w:type="dxa" w:w="90"/>
              <w:right w:type="dxa" w:w="120"/>
            </w:tcMar>
          </w:tcPr>
          <w:p>
            <w:pPr>
              <w:spacing w:after="0" w:line="264"/>
            </w:pPr>
            <w:r>
              <w:rPr>
                <w:color w:val="1A1A1A"/>
                <w:sz w:val="17"/>
                <w:szCs w:val="17"/>
              </w:rPr>
              <w:t xml:space="preserve">A.05.23(b) names a third tool, but clarification 35 confirms: 'It is compulsory to provide PSSE and PSCAD models.' PowerFactory is therefore outside the compulsory set.</w:t>
            </w:r>
          </w:p>
        </w:tc>
      </w:tr>
    </w:tbl>
    <w:p>
      <w:pPr>
        <w:spacing w:after="60" w:line="276"/>
      </w:pPr>
      <w:r>
        <w:rPr>
          <w:color w:val="5A6472"/>
          <w:sz w:val="16"/>
          <w:szCs w:val="16"/>
        </w:rPr>
        <w:t xml:space="preserve">Note 1. Addendum No. 01 item 06 adds failure to submit the Dynamic Model Test results, in a form and level of detail acceptable to NSO, within one month of ESA execution to the grounds on which the Performance Security may be forfeited. The grid-forming EMT gap is therefore a security-backed post-award obligation on a one-month clock, not merely an evidence gap.</w:t>
      </w:r>
    </w:p>
    <w:p>
      <w:pPr>
        <w:spacing w:after="60" w:line="276"/>
      </w:pPr>
      <w:r>
        <w:rPr>
          <w:color w:val="5A6472"/>
          <w:sz w:val="16"/>
          <w:szCs w:val="16"/>
        </w:rPr>
        <w:t xml:space="preserve">Note 2. Document hygiene noted for correction: the PSCAD manual describes the compiled DLL using wind-turbine source-code wording, and section 4 of the PSS(R)E manual renders as a Word undefined-bookmark error in the released PDF.</w:t>
      </w:r>
    </w:p>
    <w:p>
      <w:pPr>
        <w:spacing w:after="120" w:line="276"/>
      </w:pPr>
      <w:r>
        <w:rPr>
          <w:i/>
          <w:iCs/>
          <w:color w:val="5A6472"/>
          <w:sz w:val="16"/>
          <w:szCs w:val="16"/>
        </w:rPr>
        <w:t xml:space="preserve">Source: Annex A A.05.23; Addendum No. 01 items 06, 12 and 14; clarification 35; 21 August evidence dossier.</w:t>
      </w:r>
    </w:p>
    <w:p>
      <w:pPr>
        <w:pStyle w:val="Heading1"/>
        <w:spacing w:after="140" w:before="320"/>
      </w:pPr>
      <w:r>
        <w:rPr>
          <w:b/>
          <w:bCs/>
          <w:color w:val="123B5D"/>
          <w:sz w:val="26"/>
          <w:szCs w:val="26"/>
        </w:rPr>
        <w:t xml:space="preserve">10. Fire safety and thermal runaway</w:t>
      </w:r>
    </w:p>
    <w:tbl>
      <w:tblPr>
        <w:tblW w:type="dxa" w:w="9028"/>
        <w:tblBorders>
          <w:top w:val="none" w:color="auto" w:sz="0"/>
          <w:left w:val="single" w:color="123B5D" w:sz="18"/>
          <w:bottom w:val="none" w:color="auto" w:sz="0"/>
          <w:right w:val="none" w:color="auto" w:sz="0"/>
          <w:insideH w:val="none" w:color="auto" w:sz="0"/>
          <w:insideV w:val="none" w:color="auto" w:sz="0"/>
        </w:tblBorders>
      </w:tblPr>
      <w:tblGrid>
        <w:gridCol w:w="9028"/>
      </w:tblGrid>
      <w:tr>
        <w:tc>
          <w:tcPr>
            <w:tcW w:type="dxa" w:w="9028"/>
            <w:shd w:fill="F2F5F7" w:color="auto" w:val="clear"/>
            <w:tcMar>
              <w:top w:type="dxa" w:w="140"/>
              <w:left w:type="dxa" w:w="180"/>
              <w:bottom w:type="dxa" w:w="140"/>
              <w:right w:type="dxa" w:w="180"/>
            </w:tcMar>
          </w:tcPr>
          <w:p>
            <w:pPr>
              <w:spacing w:after="0" w:line="264"/>
            </w:pPr>
            <w:r>
              <w:rPr>
                <w:b/>
                <w:bCs/>
                <w:color w:val="1A1A1A"/>
                <w:sz w:val="18"/>
                <w:szCs w:val="18"/>
              </w:rPr>
              <w:t xml:space="preserve">BLACK = sourced from a received document | RED = drafted gap-fill, unverified, for Envision to confirm or replace</w:t>
            </w:r>
          </w:p>
        </w:tc>
      </w:tr>
    </w:tbl>
    <w:p>
      <w:pPr>
        <w:spacing w:after="120" w:line="276"/>
      </w:pPr>
      <w:r>
        <w:t xml:space="preserve"/>
      </w:r>
    </w:p>
    <w:tbl>
      <w:tblPr>
        <w:tblW w:type="dxa" w:w="9028"/>
        <w:tblBorders>
          <w:top w:val="single" w:color="C9D2DA" w:sz="6"/>
          <w:left w:val="none" w:color="auto" w:sz="0"/>
          <w:bottom w:val="single" w:color="C9D2DA" w:sz="6"/>
          <w:right w:val="none" w:color="auto" w:sz="0"/>
          <w:insideH w:val="single" w:color="C9D2DA" w:sz="4"/>
          <w:insideV w:val="none" w:color="auto" w:sz="0"/>
        </w:tblBorders>
      </w:tblPr>
      <w:tblGrid>
        <w:gridCol w:w="1806"/>
        <w:gridCol w:w="2889"/>
        <w:gridCol w:w="4333"/>
      </w:tblGrid>
      <w:tr>
        <w:trPr>
          <w:tblHeader/>
        </w:trPr>
        <w:tc>
          <w:tcPr>
            <w:tcW w:type="dxa" w:w="1806"/>
            <w:shd w:fill="123B5D" w:color="auto" w:val="clear"/>
            <w:tcMar>
              <w:top w:type="dxa" w:w="90"/>
              <w:left w:type="dxa" w:w="120"/>
              <w:bottom w:type="dxa" w:w="90"/>
              <w:right w:type="dxa" w:w="120"/>
            </w:tcMar>
          </w:tcPr>
          <w:p>
            <w:pPr>
              <w:spacing w:after="0"/>
            </w:pPr>
            <w:r>
              <w:rPr>
                <w:b/>
                <w:bCs/>
                <w:color w:val="FFFFFF"/>
                <w:sz w:val="17"/>
                <w:szCs w:val="17"/>
              </w:rPr>
              <w:t xml:space="preserve">Element</w:t>
            </w:r>
          </w:p>
        </w:tc>
        <w:tc>
          <w:tcPr>
            <w:tcW w:type="dxa" w:w="2889"/>
            <w:shd w:fill="123B5D" w:color="auto" w:val="clear"/>
            <w:tcMar>
              <w:top w:type="dxa" w:w="90"/>
              <w:left w:type="dxa" w:w="120"/>
              <w:bottom w:type="dxa" w:w="90"/>
              <w:right w:type="dxa" w:w="120"/>
            </w:tcMar>
          </w:tcPr>
          <w:p>
            <w:pPr>
              <w:spacing w:after="0"/>
            </w:pPr>
            <w:r>
              <w:rPr>
                <w:b/>
                <w:bCs/>
                <w:color w:val="FFFFFF"/>
                <w:sz w:val="17"/>
                <w:szCs w:val="17"/>
              </w:rPr>
              <w:t xml:space="preserve">Status</w:t>
            </w:r>
          </w:p>
        </w:tc>
        <w:tc>
          <w:tcPr>
            <w:tcW w:type="dxa" w:w="4333"/>
            <w:shd w:fill="123B5D" w:color="auto" w:val="clear"/>
            <w:tcMar>
              <w:top w:type="dxa" w:w="90"/>
              <w:left w:type="dxa" w:w="120"/>
              <w:bottom w:type="dxa" w:w="90"/>
              <w:right w:type="dxa" w:w="120"/>
            </w:tcMar>
          </w:tcPr>
          <w:p>
            <w:pPr>
              <w:spacing w:after="0"/>
            </w:pPr>
            <w:r>
              <w:rPr>
                <w:b/>
                <w:bCs/>
                <w:color w:val="FFFFFF"/>
                <w:sz w:val="17"/>
                <w:szCs w:val="17"/>
              </w:rPr>
              <w:t xml:space="preserve">Particulars</w:t>
            </w:r>
          </w:p>
        </w:tc>
      </w:tr>
      <w:tr>
        <w:tc>
          <w:tcPr>
            <w:tcW w:type="dxa" w:w="1806"/>
            <w:shd w:fill="FFFFFF" w:color="auto" w:val="clear"/>
            <w:tcMar>
              <w:top w:type="dxa" w:w="90"/>
              <w:left w:type="dxa" w:w="120"/>
              <w:bottom w:type="dxa" w:w="90"/>
              <w:right w:type="dxa" w:w="120"/>
            </w:tcMar>
          </w:tcPr>
          <w:p>
            <w:pPr>
              <w:spacing w:after="0" w:line="264"/>
            </w:pPr>
            <w:r>
              <w:rPr>
                <w:color w:val="1A1A1A"/>
                <w:sz w:val="17"/>
                <w:szCs w:val="17"/>
              </w:rPr>
              <w:t xml:space="preserve">UL 9540A cell level</w:t>
            </w:r>
          </w:p>
        </w:tc>
        <w:tc>
          <w:tcPr>
            <w:tcW w:type="dxa" w:w="2889"/>
            <w:shd w:fill="FFFFFF" w:color="auto" w:val="clear"/>
            <w:tcMar>
              <w:top w:type="dxa" w:w="90"/>
              <w:left w:type="dxa" w:w="120"/>
              <w:bottom w:type="dxa" w:w="90"/>
              <w:right w:type="dxa" w:w="120"/>
            </w:tcMar>
          </w:tcPr>
          <w:p>
            <w:pPr>
              <w:spacing w:after="0" w:line="264"/>
            </w:pPr>
            <w:r>
              <w:rPr>
                <w:color w:val="1A1A1A"/>
                <w:sz w:val="17"/>
                <w:szCs w:val="17"/>
              </w:rPr>
              <w:t xml:space="preserve">HELD</w:t>
            </w:r>
          </w:p>
        </w:tc>
        <w:tc>
          <w:tcPr>
            <w:tcW w:type="dxa" w:w="4333"/>
            <w:shd w:fill="FFFFFF" w:color="auto" w:val="clear"/>
            <w:tcMar>
              <w:top w:type="dxa" w:w="90"/>
              <w:left w:type="dxa" w:w="120"/>
              <w:bottom w:type="dxa" w:w="90"/>
              <w:right w:type="dxa" w:w="120"/>
            </w:tcMar>
          </w:tcPr>
          <w:p>
            <w:pPr>
              <w:spacing w:after="0" w:line="264"/>
            </w:pPr>
            <w:r>
              <w:rPr>
                <w:color w:val="1A1A1A"/>
                <w:sz w:val="17"/>
                <w:szCs w:val="17"/>
              </w:rPr>
              <w:t xml:space="preserve">Cell-level report to UL 9540A-2019.</w:t>
            </w:r>
          </w:p>
        </w:tc>
      </w:tr>
      <w:tr>
        <w:tc>
          <w:tcPr>
            <w:tcW w:type="dxa" w:w="1806"/>
            <w:shd w:fill="F2F5F7" w:color="auto" w:val="clear"/>
            <w:tcMar>
              <w:top w:type="dxa" w:w="90"/>
              <w:left w:type="dxa" w:w="120"/>
              <w:bottom w:type="dxa" w:w="90"/>
              <w:right w:type="dxa" w:w="120"/>
            </w:tcMar>
          </w:tcPr>
          <w:p>
            <w:pPr>
              <w:spacing w:after="0" w:line="264"/>
            </w:pPr>
            <w:r>
              <w:rPr>
                <w:color w:val="1A1A1A"/>
                <w:sz w:val="17"/>
                <w:szCs w:val="17"/>
              </w:rPr>
              <w:t xml:space="preserve">UL 9540A module level</w:t>
            </w:r>
          </w:p>
        </w:tc>
        <w:tc>
          <w:tcPr>
            <w:tcW w:type="dxa" w:w="2889"/>
            <w:shd w:fill="F2F5F7" w:color="auto" w:val="clear"/>
            <w:tcMar>
              <w:top w:type="dxa" w:w="90"/>
              <w:left w:type="dxa" w:w="120"/>
              <w:bottom w:type="dxa" w:w="90"/>
              <w:right w:type="dxa" w:w="120"/>
            </w:tcMar>
          </w:tcPr>
          <w:p>
            <w:pPr>
              <w:spacing w:after="0" w:line="264"/>
            </w:pPr>
            <w:r>
              <w:rPr>
                <w:color w:val="1A1A1A"/>
                <w:sz w:val="17"/>
                <w:szCs w:val="17"/>
              </w:rPr>
              <w:t xml:space="preserve">HELD</w:t>
            </w:r>
          </w:p>
        </w:tc>
        <w:tc>
          <w:tcPr>
            <w:tcW w:type="dxa" w:w="4333"/>
            <w:shd w:fill="F2F5F7" w:color="auto" w:val="clear"/>
            <w:tcMar>
              <w:top w:type="dxa" w:w="90"/>
              <w:left w:type="dxa" w:w="120"/>
              <w:bottom w:type="dxa" w:w="90"/>
              <w:right w:type="dxa" w:w="120"/>
            </w:tcMar>
          </w:tcPr>
          <w:p>
            <w:pPr>
              <w:spacing w:after="0" w:line="264"/>
            </w:pPr>
            <w:r>
              <w:rPr>
                <w:color w:val="1A1A1A"/>
                <w:sz w:val="17"/>
                <w:szCs w:val="17"/>
              </w:rPr>
              <w:t xml:space="preserve">Module-level report to UL 9540A-2026, 54 pp, issued 25 June 2026. Recorded results: peak heat release rate 46.28 kW; peak smoke release rate 0.5457 m2/s; total smoke release 29.98 m2; total hydrocarbons 432.6 L; module weight loss 1.8 kg; no flaming observed. Cell-to-cell thermal runaway and propagation occurred and was contained by the module design; cell vent gas was determined flammable at cell level.</w:t>
            </w:r>
          </w:p>
        </w:tc>
      </w:tr>
      <w:tr>
        <w:tc>
          <w:tcPr>
            <w:tcW w:type="dxa" w:w="1806"/>
            <w:shd w:fill="FBEFEF" w:color="auto" w:val="clear"/>
            <w:tcMar>
              <w:top w:type="dxa" w:w="90"/>
              <w:left w:type="dxa" w:w="120"/>
              <w:bottom w:type="dxa" w:w="90"/>
              <w:right w:type="dxa" w:w="120"/>
            </w:tcMar>
          </w:tcPr>
          <w:p>
            <w:pPr>
              <w:spacing w:after="0" w:line="264"/>
            </w:pPr>
            <w:r>
              <w:rPr>
                <w:color w:val="1A1A1A"/>
                <w:sz w:val="17"/>
                <w:szCs w:val="17"/>
              </w:rPr>
              <w:t xml:space="preserve">Next test level</w:t>
            </w:r>
          </w:p>
        </w:tc>
        <w:tc>
          <w:tcPr>
            <w:tcW w:type="dxa" w:w="2889"/>
            <w:shd w:fill="FBEFEF" w:color="auto" w:val="clear"/>
            <w:tcMar>
              <w:top w:type="dxa" w:w="90"/>
              <w:left w:type="dxa" w:w="120"/>
              <w:bottom w:type="dxa" w:w="90"/>
              <w:right w:type="dxa" w:w="120"/>
            </w:tcMar>
          </w:tcPr>
          <w:p>
            <w:pPr>
              <w:spacing w:after="0" w:line="264"/>
            </w:pPr>
            <w:r>
              <w:rPr>
                <w:color w:val="C00000"/>
                <w:sz w:val="17"/>
                <w:szCs w:val="17"/>
              </w:rPr>
              <w:t xml:space="preserve">REQUIRED - not held</w:t>
            </w:r>
          </w:p>
        </w:tc>
        <w:tc>
          <w:tcPr>
            <w:tcW w:type="dxa" w:w="4333"/>
            <w:shd w:fill="FBEFEF" w:color="auto" w:val="clear"/>
            <w:tcMar>
              <w:top w:type="dxa" w:w="90"/>
              <w:left w:type="dxa" w:w="120"/>
              <w:bottom w:type="dxa" w:w="90"/>
              <w:right w:type="dxa" w:w="120"/>
            </w:tcMar>
          </w:tcPr>
          <w:p>
            <w:pPr>
              <w:spacing w:after="0" w:line="264"/>
            </w:pPr>
            <w:r>
              <w:rPr>
                <w:color w:val="C00000"/>
                <w:sz w:val="17"/>
                <w:szCs w:val="17"/>
              </w:rPr>
              <w:t xml:space="preserve">The module report's own conclusion states that a further test level is required. Under the sixth edition of UL 9540A, published 13 March 2026, the unit-level test is no longer required for non-residential BESS, and the installation-level large-scale fire test at Section 10 is the integrated fourth evaluation level, aligned to NFPA 855 and intended to demonstrate that fire does not propagate between ESS units. Envision offers a dated commitment to the Section 10 installation-level test, with the module-level result as the interim compliance basis. Physical burn testing cannot complete before 4 September. Envision to confirm the route and the date.</w:t>
            </w:r>
          </w:p>
        </w:tc>
      </w:tr>
      <w:tr>
        <w:tc>
          <w:tcPr>
            <w:tcW w:type="dxa" w:w="1806"/>
            <w:shd w:fill="F2F5F7" w:color="auto" w:val="clear"/>
            <w:tcMar>
              <w:top w:type="dxa" w:w="90"/>
              <w:left w:type="dxa" w:w="120"/>
              <w:bottom w:type="dxa" w:w="90"/>
              <w:right w:type="dxa" w:w="120"/>
            </w:tcMar>
          </w:tcPr>
          <w:p>
            <w:pPr>
              <w:spacing w:after="0" w:line="264"/>
            </w:pPr>
            <w:r>
              <w:rPr>
                <w:color w:val="1A1A1A"/>
                <w:sz w:val="17"/>
                <w:szCs w:val="17"/>
              </w:rPr>
              <w:t xml:space="preserve">Fire Protection System Specification</w:t>
            </w:r>
          </w:p>
        </w:tc>
        <w:tc>
          <w:tcPr>
            <w:tcW w:type="dxa" w:w="2889"/>
            <w:shd w:fill="F2F5F7" w:color="auto" w:val="clear"/>
            <w:tcMar>
              <w:top w:type="dxa" w:w="90"/>
              <w:left w:type="dxa" w:w="120"/>
              <w:bottom w:type="dxa" w:w="90"/>
              <w:right w:type="dxa" w:w="120"/>
            </w:tcMar>
          </w:tcPr>
          <w:p>
            <w:pPr>
              <w:spacing w:after="0" w:line="264"/>
            </w:pPr>
            <w:r>
              <w:rPr>
                <w:color w:val="1A1A1A"/>
                <w:sz w:val="17"/>
                <w:szCs w:val="17"/>
              </w:rPr>
              <w:t xml:space="preserve">HELD - scope mismatch</w:t>
            </w:r>
          </w:p>
        </w:tc>
        <w:tc>
          <w:tcPr>
            <w:tcW w:type="dxa" w:w="4333"/>
            <w:shd w:fill="F2F5F7" w:color="auto" w:val="clear"/>
            <w:tcMar>
              <w:top w:type="dxa" w:w="90"/>
              <w:left w:type="dxa" w:w="120"/>
              <w:bottom w:type="dxa" w:w="90"/>
              <w:right w:type="dxa" w:w="120"/>
            </w:tcMar>
          </w:tcPr>
          <w:p>
            <w:pPr>
              <w:spacing w:after="0" w:line="264"/>
            </w:pPr>
            <w:r>
              <w:rPr>
                <w:color w:val="1A1A1A"/>
                <w:sz w:val="17"/>
                <w:szCs w:val="17"/>
              </w:rPr>
              <w:t xml:space="preserve">V2.0, 21 May 2026. The header scopes ENS-D10, while the offered configuration uses ENS-D06G and ENS-D10G containers.</w:t>
            </w:r>
          </w:p>
        </w:tc>
      </w:tr>
      <w:tr>
        <w:tc>
          <w:tcPr>
            <w:tcW w:type="dxa" w:w="1806"/>
            <w:shd w:fill="FFFFFF" w:color="auto" w:val="clear"/>
            <w:tcMar>
              <w:top w:type="dxa" w:w="90"/>
              <w:left w:type="dxa" w:w="120"/>
              <w:bottom w:type="dxa" w:w="90"/>
              <w:right w:type="dxa" w:w="120"/>
            </w:tcMar>
          </w:tcPr>
          <w:p>
            <w:pPr>
              <w:spacing w:after="0" w:line="264"/>
            </w:pPr>
            <w:r>
              <w:rPr>
                <w:color w:val="1A1A1A"/>
                <w:sz w:val="17"/>
                <w:szCs w:val="17"/>
              </w:rPr>
              <w:t xml:space="preserve">D06G coverage</w:t>
            </w:r>
          </w:p>
        </w:tc>
        <w:tc>
          <w:tcPr>
            <w:tcW w:type="dxa" w:w="2889"/>
            <w:shd w:fill="FFFFFF" w:color="auto" w:val="clear"/>
            <w:tcMar>
              <w:top w:type="dxa" w:w="90"/>
              <w:left w:type="dxa" w:w="120"/>
              <w:bottom w:type="dxa" w:w="90"/>
              <w:right w:type="dxa" w:w="120"/>
            </w:tcMar>
          </w:tcPr>
          <w:p>
            <w:pPr>
              <w:spacing w:after="0" w:line="264"/>
            </w:pPr>
            <w:r>
              <w:rPr>
                <w:color w:val="C00000"/>
                <w:sz w:val="17"/>
                <w:szCs w:val="17"/>
              </w:rPr>
              <w:t xml:space="preserve">REQUIRED</w:t>
            </w:r>
          </w:p>
        </w:tc>
        <w:tc>
          <w:tcPr>
            <w:tcW w:type="dxa" w:w="4333"/>
            <w:shd w:fill="FFFFFF" w:color="auto" w:val="clear"/>
            <w:tcMar>
              <w:top w:type="dxa" w:w="90"/>
              <w:left w:type="dxa" w:w="120"/>
              <w:bottom w:type="dxa" w:w="90"/>
              <w:right w:type="dxa" w:w="120"/>
            </w:tcMar>
          </w:tcPr>
          <w:p>
            <w:pPr>
              <w:spacing w:after="0" w:line="264"/>
            </w:pPr>
            <w:r>
              <w:rPr>
                <w:color w:val="C00000"/>
                <w:sz w:val="17"/>
                <w:szCs w:val="17"/>
              </w:rPr>
              <w:t xml:space="preserve">Envision to re-issue the specification with a header scoping both offered container types, or to confirm coverage of ENS-D06G in writing.</w:t>
            </w:r>
          </w:p>
        </w:tc>
      </w:tr>
    </w:tbl>
    <w:p>
      <w:pPr>
        <w:spacing w:after="120" w:line="276"/>
      </w:pPr>
      <w:r>
        <w:rPr>
          <w:i/>
          <w:iCs/>
          <w:color w:val="5A6472"/>
          <w:sz w:val="16"/>
          <w:szCs w:val="16"/>
        </w:rPr>
        <w:t xml:space="preserve">Source: 21 August evidence dossier, checklist item 45; UL 9540A sixth edition (13 March 2026).</w:t>
      </w:r>
    </w:p>
    <w:p>
      <w:pPr>
        <w:pStyle w:val="Heading1"/>
        <w:spacing w:after="140" w:before="320"/>
      </w:pPr>
      <w:r>
        <w:rPr>
          <w:b/>
          <w:bCs/>
          <w:color w:val="123B5D"/>
          <w:sz w:val="26"/>
          <w:szCs w:val="26"/>
        </w:rPr>
        <w:t xml:space="preserve">11. Standards and certification register</w:t>
      </w:r>
    </w:p>
    <w:tbl>
      <w:tblPr>
        <w:tblW w:type="dxa" w:w="9028"/>
        <w:tblBorders>
          <w:top w:val="none" w:color="auto" w:sz="0"/>
          <w:left w:val="single" w:color="123B5D" w:sz="18"/>
          <w:bottom w:val="none" w:color="auto" w:sz="0"/>
          <w:right w:val="none" w:color="auto" w:sz="0"/>
          <w:insideH w:val="none" w:color="auto" w:sz="0"/>
          <w:insideV w:val="none" w:color="auto" w:sz="0"/>
        </w:tblBorders>
      </w:tblPr>
      <w:tblGrid>
        <w:gridCol w:w="9028"/>
      </w:tblGrid>
      <w:tr>
        <w:tc>
          <w:tcPr>
            <w:tcW w:type="dxa" w:w="9028"/>
            <w:shd w:fill="F2F5F7" w:color="auto" w:val="clear"/>
            <w:tcMar>
              <w:top w:type="dxa" w:w="140"/>
              <w:left w:type="dxa" w:w="180"/>
              <w:bottom w:type="dxa" w:w="140"/>
              <w:right w:type="dxa" w:w="180"/>
            </w:tcMar>
          </w:tcPr>
          <w:p>
            <w:pPr>
              <w:spacing w:after="0" w:line="264"/>
            </w:pPr>
            <w:r>
              <w:rPr>
                <w:b/>
                <w:bCs/>
                <w:color w:val="1A1A1A"/>
                <w:sz w:val="18"/>
                <w:szCs w:val="18"/>
              </w:rPr>
              <w:t xml:space="preserve">BLACK = sourced from a received document | RED = drafted gap-fill, unverified, for Envision to confirm or replace</w:t>
            </w:r>
          </w:p>
        </w:tc>
      </w:tr>
    </w:tbl>
    <w:p>
      <w:pPr>
        <w:spacing w:after="120" w:line="276"/>
      </w:pPr>
      <w:r>
        <w:t xml:space="preserve"/>
      </w:r>
    </w:p>
    <w:p>
      <w:pPr>
        <w:spacing w:after="120" w:line="276"/>
      </w:pPr>
      <w:r>
        <w:rPr>
          <w:color w:val="1A1A1A"/>
          <w:sz w:val="19"/>
          <w:szCs w:val="19"/>
        </w:rPr>
        <w:t xml:space="preserve">Sixteen certificates and reports are held across checklist sections C and D - five DC-side and eleven AC-side. Clarification 62 opens the route for the remainder: where the exact proposed package is newly introduced and certification is still in progress, the bidder may submit currently valid certifications for the applicable cells, racks, major components or established product family, TOGETHER WITH documentary evidence of the relationship and technical equivalence to the offered package. That is an evidence route, not a waiver.</w:t>
      </w:r>
    </w:p>
    <w:tbl>
      <w:tblPr>
        <w:tblW w:type="dxa" w:w="9028"/>
        <w:tblBorders>
          <w:top w:val="single" w:color="C9D2DA" w:sz="6"/>
          <w:left w:val="none" w:color="auto" w:sz="0"/>
          <w:bottom w:val="single" w:color="C9D2DA" w:sz="6"/>
          <w:right w:val="none" w:color="auto" w:sz="0"/>
          <w:insideH w:val="single" w:color="C9D2DA" w:sz="4"/>
          <w:insideV w:val="none" w:color="auto" w:sz="0"/>
        </w:tblBorders>
      </w:tblPr>
      <w:tblGrid>
        <w:gridCol w:w="1806"/>
        <w:gridCol w:w="2889"/>
        <w:gridCol w:w="4333"/>
      </w:tblGrid>
      <w:tr>
        <w:trPr>
          <w:tblHeader/>
        </w:trPr>
        <w:tc>
          <w:tcPr>
            <w:tcW w:type="dxa" w:w="1806"/>
            <w:shd w:fill="123B5D" w:color="auto" w:val="clear"/>
            <w:tcMar>
              <w:top w:type="dxa" w:w="90"/>
              <w:left w:type="dxa" w:w="120"/>
              <w:bottom w:type="dxa" w:w="90"/>
              <w:right w:type="dxa" w:w="120"/>
            </w:tcMar>
          </w:tcPr>
          <w:p>
            <w:pPr>
              <w:spacing w:after="0"/>
            </w:pPr>
            <w:r>
              <w:rPr>
                <w:b/>
                <w:bCs/>
                <w:color w:val="FFFFFF"/>
                <w:sz w:val="17"/>
                <w:szCs w:val="17"/>
              </w:rPr>
              <w:t xml:space="preserve">Standard</w:t>
            </w:r>
          </w:p>
        </w:tc>
        <w:tc>
          <w:tcPr>
            <w:tcW w:type="dxa" w:w="2889"/>
            <w:shd w:fill="123B5D" w:color="auto" w:val="clear"/>
            <w:tcMar>
              <w:top w:type="dxa" w:w="90"/>
              <w:left w:type="dxa" w:w="120"/>
              <w:bottom w:type="dxa" w:w="90"/>
              <w:right w:type="dxa" w:w="120"/>
            </w:tcMar>
          </w:tcPr>
          <w:p>
            <w:pPr>
              <w:spacing w:after="0"/>
            </w:pPr>
            <w:r>
              <w:rPr>
                <w:b/>
                <w:bCs/>
                <w:color w:val="FFFFFF"/>
                <w:sz w:val="17"/>
                <w:szCs w:val="17"/>
              </w:rPr>
              <w:t xml:space="preserve">Declared position</w:t>
            </w:r>
          </w:p>
        </w:tc>
        <w:tc>
          <w:tcPr>
            <w:tcW w:type="dxa" w:w="4333"/>
            <w:shd w:fill="123B5D" w:color="auto" w:val="clear"/>
            <w:tcMar>
              <w:top w:type="dxa" w:w="90"/>
              <w:left w:type="dxa" w:w="120"/>
              <w:bottom w:type="dxa" w:w="90"/>
              <w:right w:type="dxa" w:w="120"/>
            </w:tcMar>
          </w:tcPr>
          <w:p>
            <w:pPr>
              <w:spacing w:after="0"/>
            </w:pPr>
            <w:r>
              <w:rPr>
                <w:b/>
                <w:bCs/>
                <w:color w:val="FFFFFF"/>
                <w:sz w:val="17"/>
                <w:szCs w:val="17"/>
              </w:rPr>
              <w:t xml:space="preserve">Action</w:t>
            </w:r>
          </w:p>
        </w:tc>
      </w:tr>
      <w:tr>
        <w:tc>
          <w:tcPr>
            <w:tcW w:type="dxa" w:w="1806"/>
            <w:shd w:fill="FFFFFF" w:color="auto" w:val="clear"/>
            <w:tcMar>
              <w:top w:type="dxa" w:w="90"/>
              <w:left w:type="dxa" w:w="120"/>
              <w:bottom w:type="dxa" w:w="90"/>
              <w:right w:type="dxa" w:w="120"/>
            </w:tcMar>
          </w:tcPr>
          <w:p>
            <w:pPr>
              <w:spacing w:after="0" w:line="264"/>
            </w:pPr>
            <w:r>
              <w:rPr>
                <w:color w:val="1A1A1A"/>
                <w:sz w:val="17"/>
                <w:szCs w:val="17"/>
              </w:rPr>
              <w:t xml:space="preserve">IEC 62619 (CB scheme)</w:t>
            </w:r>
          </w:p>
        </w:tc>
        <w:tc>
          <w:tcPr>
            <w:tcW w:type="dxa" w:w="2889"/>
            <w:shd w:fill="FFFFFF" w:color="auto" w:val="clear"/>
            <w:tcMar>
              <w:top w:type="dxa" w:w="90"/>
              <w:left w:type="dxa" w:w="120"/>
              <w:bottom w:type="dxa" w:w="90"/>
              <w:right w:type="dxa" w:w="120"/>
            </w:tcMar>
          </w:tcPr>
          <w:p>
            <w:pPr>
              <w:spacing w:after="0" w:line="264"/>
            </w:pPr>
            <w:r>
              <w:rPr>
                <w:color w:val="1A1A1A"/>
                <w:sz w:val="17"/>
                <w:szCs w:val="17"/>
              </w:rPr>
              <w:t xml:space="preserve">Certified, cell level</w:t>
            </w:r>
          </w:p>
        </w:tc>
        <w:tc>
          <w:tcPr>
            <w:tcW w:type="dxa" w:w="4333"/>
            <w:shd w:fill="FFFFFF" w:color="auto" w:val="clear"/>
            <w:tcMar>
              <w:top w:type="dxa" w:w="90"/>
              <w:left w:type="dxa" w:w="120"/>
              <w:bottom w:type="dxa" w:w="90"/>
              <w:right w:type="dxa" w:w="120"/>
            </w:tcMar>
          </w:tcPr>
          <w:p>
            <w:pPr>
              <w:spacing w:after="0" w:line="264"/>
            </w:pPr>
            <w:r>
              <w:rPr>
                <w:color w:val="1A1A1A"/>
                <w:sz w:val="17"/>
                <w:szCs w:val="17"/>
              </w:rPr>
              <w:t xml:space="preserve">Held. Certificate is in the cell-manufacturing entity's name.</w:t>
            </w:r>
          </w:p>
        </w:tc>
      </w:tr>
      <w:tr>
        <w:tc>
          <w:tcPr>
            <w:tcW w:type="dxa" w:w="1806"/>
            <w:shd w:fill="FBEFEF" w:color="auto" w:val="clear"/>
            <w:tcMar>
              <w:top w:type="dxa" w:w="90"/>
              <w:left w:type="dxa" w:w="120"/>
              <w:bottom w:type="dxa" w:w="90"/>
              <w:right w:type="dxa" w:w="120"/>
            </w:tcMar>
          </w:tcPr>
          <w:p>
            <w:pPr>
              <w:spacing w:after="0" w:line="264"/>
            </w:pPr>
            <w:r>
              <w:rPr>
                <w:color w:val="1A1A1A"/>
                <w:sz w:val="17"/>
                <w:szCs w:val="17"/>
              </w:rPr>
              <w:t xml:space="preserve">UL 1973</w:t>
            </w:r>
          </w:p>
        </w:tc>
        <w:tc>
          <w:tcPr>
            <w:tcW w:type="dxa" w:w="2889"/>
            <w:shd w:fill="FBEFEF" w:color="auto" w:val="clear"/>
            <w:tcMar>
              <w:top w:type="dxa" w:w="90"/>
              <w:left w:type="dxa" w:w="120"/>
              <w:bottom w:type="dxa" w:w="90"/>
              <w:right w:type="dxa" w:w="120"/>
            </w:tcMar>
          </w:tcPr>
          <w:p>
            <w:pPr>
              <w:spacing w:after="0" w:line="264"/>
            </w:pPr>
            <w:r>
              <w:rPr>
                <w:color w:val="1A1A1A"/>
                <w:sz w:val="17"/>
                <w:szCs w:val="17"/>
              </w:rPr>
              <w:t xml:space="preserve">Component recognition, cell level (BBGA2)</w:t>
            </w:r>
          </w:p>
        </w:tc>
        <w:tc>
          <w:tcPr>
            <w:tcW w:type="dxa" w:w="4333"/>
            <w:shd w:fill="FBEFEF" w:color="auto" w:val="clear"/>
            <w:tcMar>
              <w:top w:type="dxa" w:w="90"/>
              <w:left w:type="dxa" w:w="120"/>
              <w:bottom w:type="dxa" w:w="90"/>
              <w:right w:type="dxa" w:w="120"/>
            </w:tcMar>
          </w:tcPr>
          <w:p>
            <w:pPr>
              <w:spacing w:after="0" w:line="264"/>
            </w:pPr>
            <w:r>
              <w:rPr>
                <w:color w:val="C00000"/>
                <w:sz w:val="17"/>
                <w:szCs w:val="17"/>
              </w:rPr>
              <w:t xml:space="preserve">The certificate states that UL Recognized components are incomplete in certain constructional features. It is not system certification and must not be presented as such. Envision to supply the equivalence evidence bridging cell-level recognition to the offered system under clarification 62.</w:t>
            </w:r>
          </w:p>
        </w:tc>
      </w:tr>
      <w:tr>
        <w:tc>
          <w:tcPr>
            <w:tcW w:type="dxa" w:w="1806"/>
            <w:shd w:fill="FFFFFF" w:color="auto" w:val="clear"/>
            <w:tcMar>
              <w:top w:type="dxa" w:w="90"/>
              <w:left w:type="dxa" w:w="120"/>
              <w:bottom w:type="dxa" w:w="90"/>
              <w:right w:type="dxa" w:w="120"/>
            </w:tcMar>
          </w:tcPr>
          <w:p>
            <w:pPr>
              <w:spacing w:after="0" w:line="264"/>
            </w:pPr>
            <w:r>
              <w:rPr>
                <w:color w:val="1A1A1A"/>
                <w:sz w:val="17"/>
                <w:szCs w:val="17"/>
              </w:rPr>
              <w:t xml:space="preserve">UL 9540 (system level)</w:t>
            </w:r>
          </w:p>
        </w:tc>
        <w:tc>
          <w:tcPr>
            <w:tcW w:type="dxa" w:w="2889"/>
            <w:shd w:fill="FFFFFF" w:color="auto" w:val="clear"/>
            <w:tcMar>
              <w:top w:type="dxa" w:w="90"/>
              <w:left w:type="dxa" w:w="120"/>
              <w:bottom w:type="dxa" w:w="90"/>
              <w:right w:type="dxa" w:w="120"/>
            </w:tcMar>
          </w:tcPr>
          <w:p>
            <w:pPr>
              <w:spacing w:after="0" w:line="264"/>
            </w:pPr>
            <w:r>
              <w:rPr>
                <w:color w:val="1A1A1A"/>
                <w:sz w:val="17"/>
                <w:szCs w:val="17"/>
              </w:rPr>
              <w:t xml:space="preserve">Partially comply / future</w:t>
            </w:r>
          </w:p>
        </w:tc>
        <w:tc>
          <w:tcPr>
            <w:tcW w:type="dxa" w:w="4333"/>
            <w:shd w:fill="FFFFFF" w:color="auto" w:val="clear"/>
            <w:tcMar>
              <w:top w:type="dxa" w:w="90"/>
              <w:left w:type="dxa" w:w="120"/>
              <w:bottom w:type="dxa" w:w="90"/>
              <w:right w:type="dxa" w:w="120"/>
            </w:tcMar>
          </w:tcPr>
          <w:p>
            <w:pPr>
              <w:spacing w:after="0" w:line="264"/>
            </w:pPr>
            <w:r>
              <w:rPr>
                <w:color w:val="C00000"/>
                <w:sz w:val="17"/>
                <w:szCs w:val="17"/>
              </w:rPr>
              <w:t xml:space="preserve">Envision to state a realistic certification date and the interim equivalence basis.</w:t>
            </w:r>
          </w:p>
        </w:tc>
      </w:tr>
      <w:tr>
        <w:tc>
          <w:tcPr>
            <w:tcW w:type="dxa" w:w="1806"/>
            <w:shd w:fill="FBEFEF" w:color="auto" w:val="clear"/>
            <w:tcMar>
              <w:top w:type="dxa" w:w="90"/>
              <w:left w:type="dxa" w:w="120"/>
              <w:bottom w:type="dxa" w:w="90"/>
              <w:right w:type="dxa" w:w="120"/>
            </w:tcMar>
          </w:tcPr>
          <w:p>
            <w:pPr>
              <w:spacing w:after="0" w:line="264"/>
            </w:pPr>
            <w:r>
              <w:rPr>
                <w:color w:val="1A1A1A"/>
                <w:sz w:val="17"/>
                <w:szCs w:val="17"/>
              </w:rPr>
              <w:t xml:space="preserve">IEC 62620, IEC 62933-5-2</w:t>
            </w:r>
          </w:p>
        </w:tc>
        <w:tc>
          <w:tcPr>
            <w:tcW w:type="dxa" w:w="2889"/>
            <w:shd w:fill="FBEFEF" w:color="auto" w:val="clear"/>
            <w:tcMar>
              <w:top w:type="dxa" w:w="90"/>
              <w:left w:type="dxa" w:w="120"/>
              <w:bottom w:type="dxa" w:w="90"/>
              <w:right w:type="dxa" w:w="120"/>
            </w:tcMar>
          </w:tcPr>
          <w:p>
            <w:pPr>
              <w:spacing w:after="0" w:line="264"/>
            </w:pPr>
            <w:r>
              <w:rPr>
                <w:color w:val="1A1A1A"/>
                <w:sz w:val="17"/>
                <w:szCs w:val="17"/>
              </w:rPr>
              <w:t xml:space="preserve">Not certified - 'Will finish before 2026'</w:t>
            </w:r>
          </w:p>
        </w:tc>
        <w:tc>
          <w:tcPr>
            <w:tcW w:type="dxa" w:w="4333"/>
            <w:shd w:fill="FBEFEF" w:color="auto" w:val="clear"/>
            <w:tcMar>
              <w:top w:type="dxa" w:w="90"/>
              <w:left w:type="dxa" w:w="120"/>
              <w:bottom w:type="dxa" w:w="90"/>
              <w:right w:type="dxa" w:w="120"/>
            </w:tcMar>
          </w:tcPr>
          <w:p>
            <w:pPr>
              <w:spacing w:after="0" w:line="264"/>
            </w:pPr>
            <w:r>
              <w:rPr>
                <w:color w:val="C00000"/>
                <w:sz w:val="17"/>
                <w:szCs w:val="17"/>
              </w:rPr>
              <w:t xml:space="preserve">STALE: the date has passed. Envision to re-date with realistic completion dates - a stale commitment reads worse than an honest revised one.</w:t>
            </w:r>
          </w:p>
        </w:tc>
      </w:tr>
      <w:tr>
        <w:tc>
          <w:tcPr>
            <w:tcW w:type="dxa" w:w="1806"/>
            <w:shd w:fill="FFFFFF" w:color="auto" w:val="clear"/>
            <w:tcMar>
              <w:top w:type="dxa" w:w="90"/>
              <w:left w:type="dxa" w:w="120"/>
              <w:bottom w:type="dxa" w:w="90"/>
              <w:right w:type="dxa" w:w="120"/>
            </w:tcMar>
          </w:tcPr>
          <w:p>
            <w:pPr>
              <w:spacing w:after="0" w:line="264"/>
            </w:pPr>
            <w:r>
              <w:rPr>
                <w:color w:val="1A1A1A"/>
                <w:sz w:val="17"/>
                <w:szCs w:val="17"/>
              </w:rPr>
              <w:t xml:space="preserve">IEC 62902</w:t>
            </w:r>
          </w:p>
        </w:tc>
        <w:tc>
          <w:tcPr>
            <w:tcW w:type="dxa" w:w="2889"/>
            <w:shd w:fill="FFFFFF" w:color="auto" w:val="clear"/>
            <w:tcMar>
              <w:top w:type="dxa" w:w="90"/>
              <w:left w:type="dxa" w:w="120"/>
              <w:bottom w:type="dxa" w:w="90"/>
              <w:right w:type="dxa" w:w="120"/>
            </w:tcMar>
          </w:tcPr>
          <w:p>
            <w:pPr>
              <w:spacing w:after="0" w:line="264"/>
            </w:pPr>
            <w:r>
              <w:rPr>
                <w:color w:val="1A1A1A"/>
                <w:sz w:val="17"/>
                <w:szCs w:val="17"/>
              </w:rPr>
              <w:t xml:space="preserve">Not comply - ISO 7010 labelling offered instead</w:t>
            </w:r>
          </w:p>
        </w:tc>
        <w:tc>
          <w:tcPr>
            <w:tcW w:type="dxa" w:w="4333"/>
            <w:shd w:fill="FFFFFF" w:color="auto" w:val="clear"/>
            <w:tcMar>
              <w:top w:type="dxa" w:w="90"/>
              <w:left w:type="dxa" w:w="120"/>
              <w:bottom w:type="dxa" w:w="90"/>
              <w:right w:type="dxa" w:w="120"/>
            </w:tcMar>
          </w:tcPr>
          <w:p>
            <w:pPr>
              <w:spacing w:after="0" w:line="264"/>
            </w:pPr>
            <w:r>
              <w:rPr>
                <w:color w:val="C00000"/>
                <w:sz w:val="17"/>
                <w:szCs w:val="17"/>
              </w:rPr>
              <w:t xml:space="preserve">Envision to state the equivalence argument.</w:t>
            </w:r>
          </w:p>
        </w:tc>
      </w:tr>
      <w:tr>
        <w:tc>
          <w:tcPr>
            <w:tcW w:type="dxa" w:w="1806"/>
            <w:shd w:fill="F2F5F7" w:color="auto" w:val="clear"/>
            <w:tcMar>
              <w:top w:type="dxa" w:w="90"/>
              <w:left w:type="dxa" w:w="120"/>
              <w:bottom w:type="dxa" w:w="90"/>
              <w:right w:type="dxa" w:w="120"/>
            </w:tcMar>
          </w:tcPr>
          <w:p>
            <w:pPr>
              <w:spacing w:after="0" w:line="264"/>
            </w:pPr>
            <w:r>
              <w:rPr>
                <w:color w:val="1A1A1A"/>
                <w:sz w:val="17"/>
                <w:szCs w:val="17"/>
              </w:rPr>
              <w:t xml:space="preserve">IEC 62485-5</w:t>
            </w:r>
          </w:p>
        </w:tc>
        <w:tc>
          <w:tcPr>
            <w:tcW w:type="dxa" w:w="2889"/>
            <w:shd w:fill="F2F5F7" w:color="auto" w:val="clear"/>
            <w:tcMar>
              <w:top w:type="dxa" w:w="90"/>
              <w:left w:type="dxa" w:w="120"/>
              <w:bottom w:type="dxa" w:w="90"/>
              <w:right w:type="dxa" w:w="120"/>
            </w:tcMar>
          </w:tcPr>
          <w:p>
            <w:pPr>
              <w:spacing w:after="0" w:line="264"/>
            </w:pPr>
            <w:r>
              <w:rPr>
                <w:color w:val="1A1A1A"/>
                <w:sz w:val="17"/>
                <w:szCs w:val="17"/>
              </w:rPr>
              <w:t xml:space="preserve">Not comply - IEC 62619 / 61000-6-2/-6-4 / 62620 offered</w:t>
            </w:r>
          </w:p>
        </w:tc>
        <w:tc>
          <w:tcPr>
            <w:tcW w:type="dxa" w:w="4333"/>
            <w:shd w:fill="F2F5F7" w:color="auto" w:val="clear"/>
            <w:tcMar>
              <w:top w:type="dxa" w:w="90"/>
              <w:left w:type="dxa" w:w="120"/>
              <w:bottom w:type="dxa" w:w="90"/>
              <w:right w:type="dxa" w:w="120"/>
            </w:tcMar>
          </w:tcPr>
          <w:p>
            <w:pPr>
              <w:spacing w:after="0" w:line="264"/>
            </w:pPr>
            <w:r>
              <w:rPr>
                <w:color w:val="C00000"/>
                <w:sz w:val="17"/>
                <w:szCs w:val="17"/>
              </w:rPr>
              <w:t xml:space="preserve">Envision to state the equivalence argument.</w:t>
            </w:r>
          </w:p>
        </w:tc>
      </w:tr>
      <w:tr>
        <w:tc>
          <w:tcPr>
            <w:tcW w:type="dxa" w:w="1806"/>
            <w:shd w:fill="FFFFFF" w:color="auto" w:val="clear"/>
            <w:tcMar>
              <w:top w:type="dxa" w:w="90"/>
              <w:left w:type="dxa" w:w="120"/>
              <w:bottom w:type="dxa" w:w="90"/>
              <w:right w:type="dxa" w:w="120"/>
            </w:tcMar>
          </w:tcPr>
          <w:p>
            <w:pPr>
              <w:spacing w:after="0" w:line="264"/>
            </w:pPr>
            <w:r>
              <w:rPr>
                <w:color w:val="1A1A1A"/>
                <w:sz w:val="17"/>
                <w:szCs w:val="17"/>
              </w:rPr>
              <w:t xml:space="preserve">IEC 62933-1</w:t>
            </w:r>
          </w:p>
        </w:tc>
        <w:tc>
          <w:tcPr>
            <w:tcW w:type="dxa" w:w="2889"/>
            <w:shd w:fill="FFFFFF" w:color="auto" w:val="clear"/>
            <w:tcMar>
              <w:top w:type="dxa" w:w="90"/>
              <w:left w:type="dxa" w:w="120"/>
              <w:bottom w:type="dxa" w:w="90"/>
              <w:right w:type="dxa" w:w="120"/>
            </w:tcMar>
          </w:tcPr>
          <w:p>
            <w:pPr>
              <w:spacing w:after="0" w:line="264"/>
            </w:pPr>
            <w:r>
              <w:rPr>
                <w:color w:val="1A1A1A"/>
                <w:sz w:val="17"/>
                <w:szCs w:val="17"/>
              </w:rPr>
              <w:t xml:space="preserve">Comply, no certificate - 'do not plan to certificate'</w:t>
            </w:r>
          </w:p>
        </w:tc>
        <w:tc>
          <w:tcPr>
            <w:tcW w:type="dxa" w:w="4333"/>
            <w:shd w:fill="FFFFFF" w:color="auto" w:val="clear"/>
            <w:tcMar>
              <w:top w:type="dxa" w:w="90"/>
              <w:left w:type="dxa" w:w="120"/>
              <w:bottom w:type="dxa" w:w="90"/>
              <w:right w:type="dxa" w:w="120"/>
            </w:tcMar>
          </w:tcPr>
          <w:p>
            <w:pPr>
              <w:spacing w:after="0" w:line="264"/>
            </w:pPr>
            <w:r>
              <w:rPr>
                <w:color w:val="C00000"/>
                <w:sz w:val="17"/>
                <w:szCs w:val="17"/>
              </w:rPr>
              <w:t xml:space="preserve">Envision to supply a signed declaration of compliance in lieu.</w:t>
            </w:r>
          </w:p>
        </w:tc>
      </w:tr>
      <w:tr>
        <w:tc>
          <w:tcPr>
            <w:tcW w:type="dxa" w:w="1806"/>
            <w:shd w:fill="F2F5F7" w:color="auto" w:val="clear"/>
            <w:tcMar>
              <w:top w:type="dxa" w:w="90"/>
              <w:left w:type="dxa" w:w="120"/>
              <w:bottom w:type="dxa" w:w="90"/>
              <w:right w:type="dxa" w:w="120"/>
            </w:tcMar>
          </w:tcPr>
          <w:p>
            <w:pPr>
              <w:spacing w:after="0" w:line="264"/>
            </w:pPr>
            <w:r>
              <w:rPr>
                <w:color w:val="1A1A1A"/>
                <w:sz w:val="17"/>
                <w:szCs w:val="17"/>
              </w:rPr>
              <w:t xml:space="preserve">IEC 62933-2-1</w:t>
            </w:r>
          </w:p>
        </w:tc>
        <w:tc>
          <w:tcPr>
            <w:tcW w:type="dxa" w:w="2889"/>
            <w:shd w:fill="F2F5F7" w:color="auto" w:val="clear"/>
            <w:tcMar>
              <w:top w:type="dxa" w:w="90"/>
              <w:left w:type="dxa" w:w="120"/>
              <w:bottom w:type="dxa" w:w="90"/>
              <w:right w:type="dxa" w:w="120"/>
            </w:tcMar>
          </w:tcPr>
          <w:p>
            <w:pPr>
              <w:spacing w:after="0" w:line="264"/>
            </w:pPr>
            <w:r>
              <w:rPr>
                <w:color w:val="1A1A1A"/>
                <w:sz w:val="17"/>
                <w:szCs w:val="17"/>
              </w:rPr>
              <w:t xml:space="preserve">Not comply - framework standard</w:t>
            </w:r>
          </w:p>
        </w:tc>
        <w:tc>
          <w:tcPr>
            <w:tcW w:type="dxa" w:w="4333"/>
            <w:shd w:fill="F2F5F7" w:color="auto" w:val="clear"/>
            <w:tcMar>
              <w:top w:type="dxa" w:w="90"/>
              <w:left w:type="dxa" w:w="120"/>
              <w:bottom w:type="dxa" w:w="90"/>
              <w:right w:type="dxa" w:w="120"/>
            </w:tcMar>
          </w:tcPr>
          <w:p>
            <w:pPr>
              <w:spacing w:after="0" w:line="264"/>
            </w:pPr>
            <w:r>
              <w:rPr>
                <w:color w:val="C00000"/>
                <w:sz w:val="17"/>
                <w:szCs w:val="17"/>
              </w:rPr>
              <w:t xml:space="preserve">Envision to state the equivalence argument.</w:t>
            </w:r>
          </w:p>
        </w:tc>
      </w:tr>
      <w:tr>
        <w:tc>
          <w:tcPr>
            <w:tcW w:type="dxa" w:w="1806"/>
            <w:shd w:fill="FFFFFF" w:color="auto" w:val="clear"/>
            <w:tcMar>
              <w:top w:type="dxa" w:w="90"/>
              <w:left w:type="dxa" w:w="120"/>
              <w:bottom w:type="dxa" w:w="90"/>
              <w:right w:type="dxa" w:w="120"/>
            </w:tcMar>
          </w:tcPr>
          <w:p>
            <w:pPr>
              <w:spacing w:after="0" w:line="264"/>
            </w:pPr>
            <w:r>
              <w:rPr>
                <w:color w:val="1A1A1A"/>
                <w:sz w:val="17"/>
                <w:szCs w:val="17"/>
              </w:rPr>
              <w:t xml:space="preserve">IEEE 1547-2018</w:t>
            </w:r>
          </w:p>
        </w:tc>
        <w:tc>
          <w:tcPr>
            <w:tcW w:type="dxa" w:w="2889"/>
            <w:shd w:fill="FFFFFF" w:color="auto" w:val="clear"/>
            <w:tcMar>
              <w:top w:type="dxa" w:w="90"/>
              <w:left w:type="dxa" w:w="120"/>
              <w:bottom w:type="dxa" w:w="90"/>
              <w:right w:type="dxa" w:w="120"/>
            </w:tcMar>
          </w:tcPr>
          <w:p>
            <w:pPr>
              <w:spacing w:after="0" w:line="264"/>
            </w:pPr>
            <w:r>
              <w:rPr>
                <w:color w:val="1A1A1A"/>
                <w:sz w:val="17"/>
                <w:szCs w:val="17"/>
              </w:rPr>
              <w:t xml:space="preserve">Partially - only US-version products tested</w:t>
            </w:r>
          </w:p>
        </w:tc>
        <w:tc>
          <w:tcPr>
            <w:tcW w:type="dxa" w:w="4333"/>
            <w:shd w:fill="FFFFFF" w:color="auto" w:val="clear"/>
            <w:tcMar>
              <w:top w:type="dxa" w:w="90"/>
              <w:left w:type="dxa" w:w="120"/>
              <w:bottom w:type="dxa" w:w="90"/>
              <w:right w:type="dxa" w:w="120"/>
            </w:tcMar>
          </w:tcPr>
          <w:p>
            <w:pPr>
              <w:spacing w:after="0" w:line="264"/>
            </w:pPr>
            <w:r>
              <w:rPr>
                <w:color w:val="C00000"/>
                <w:sz w:val="17"/>
                <w:szCs w:val="17"/>
              </w:rPr>
              <w:t xml:space="preserve">Envision to state which provisions are met by the offered product.</w:t>
            </w:r>
          </w:p>
        </w:tc>
      </w:tr>
      <w:tr>
        <w:tc>
          <w:tcPr>
            <w:tcW w:type="dxa" w:w="1806"/>
            <w:shd w:fill="FBEFEF" w:color="auto" w:val="clear"/>
            <w:tcMar>
              <w:top w:type="dxa" w:w="90"/>
              <w:left w:type="dxa" w:w="120"/>
              <w:bottom w:type="dxa" w:w="90"/>
              <w:right w:type="dxa" w:w="120"/>
            </w:tcMar>
          </w:tcPr>
          <w:p>
            <w:pPr>
              <w:spacing w:after="0" w:line="264"/>
            </w:pPr>
            <w:r>
              <w:rPr>
                <w:color w:val="1A1A1A"/>
                <w:sz w:val="17"/>
                <w:szCs w:val="17"/>
              </w:rPr>
              <w:t xml:space="preserve">IEEE 2800-2022</w:t>
            </w:r>
          </w:p>
        </w:tc>
        <w:tc>
          <w:tcPr>
            <w:tcW w:type="dxa" w:w="2889"/>
            <w:shd w:fill="FBEFEF" w:color="auto" w:val="clear"/>
            <w:tcMar>
              <w:top w:type="dxa" w:w="90"/>
              <w:left w:type="dxa" w:w="120"/>
              <w:bottom w:type="dxa" w:w="90"/>
              <w:right w:type="dxa" w:w="120"/>
            </w:tcMar>
          </w:tcPr>
          <w:p>
            <w:pPr>
              <w:spacing w:after="0" w:line="264"/>
            </w:pPr>
            <w:r>
              <w:rPr>
                <w:color w:val="1A1A1A"/>
                <w:sz w:val="17"/>
                <w:szCs w:val="17"/>
              </w:rPr>
              <w:t xml:space="preserve">Declined - 'US region-specific, not required for other markets'</w:t>
            </w:r>
          </w:p>
        </w:tc>
        <w:tc>
          <w:tcPr>
            <w:tcW w:type="dxa" w:w="4333"/>
            <w:shd w:fill="FBEFEF" w:color="auto" w:val="clear"/>
            <w:tcMar>
              <w:top w:type="dxa" w:w="90"/>
              <w:left w:type="dxa" w:w="120"/>
              <w:bottom w:type="dxa" w:w="90"/>
              <w:right w:type="dxa" w:w="120"/>
            </w:tcMar>
          </w:tcPr>
          <w:p>
            <w:pPr>
              <w:spacing w:after="0" w:line="264"/>
            </w:pPr>
            <w:r>
              <w:rPr>
                <w:color w:val="C00000"/>
                <w:sz w:val="17"/>
                <w:szCs w:val="17"/>
              </w:rPr>
              <w:t xml:space="preserve">This is the substantive refusal. IEEE 2800 is the transmission-level IBR interconnection standard whose grid-forming provisions are the natural reference for this tender's mandatory grid-forming requirement, and declining it on market-scope grounds will be read closely. Envision to state the equivalence argument clause by clause against EN 50549-2 and G99. NOTE: no published equivalence mapping between these standards exists, so the argument must be constructed, not cited. IEEE has issued amendment IEEE 2800a specifically to reduce barriers for inverter-based resources with grid-forming equipment; it is the right reference to engage.</w:t>
            </w:r>
          </w:p>
        </w:tc>
      </w:tr>
      <w:tr>
        <w:tc>
          <w:tcPr>
            <w:tcW w:type="dxa" w:w="1806"/>
            <w:shd w:fill="FFFFFF" w:color="auto" w:val="clear"/>
            <w:tcMar>
              <w:top w:type="dxa" w:w="90"/>
              <w:left w:type="dxa" w:w="120"/>
              <w:bottom w:type="dxa" w:w="90"/>
              <w:right w:type="dxa" w:w="120"/>
            </w:tcMar>
          </w:tcPr>
          <w:p>
            <w:pPr>
              <w:spacing w:after="0" w:line="264"/>
            </w:pPr>
            <w:r>
              <w:rPr>
                <w:color w:val="1A1A1A"/>
                <w:sz w:val="17"/>
                <w:szCs w:val="17"/>
              </w:rPr>
              <w:t xml:space="preserve">UL 1741-SB</w:t>
            </w:r>
          </w:p>
        </w:tc>
        <w:tc>
          <w:tcPr>
            <w:tcW w:type="dxa" w:w="2889"/>
            <w:shd w:fill="FFFFFF" w:color="auto" w:val="clear"/>
            <w:tcMar>
              <w:top w:type="dxa" w:w="90"/>
              <w:left w:type="dxa" w:w="120"/>
              <w:bottom w:type="dxa" w:w="90"/>
              <w:right w:type="dxa" w:w="120"/>
            </w:tcMar>
          </w:tcPr>
          <w:p>
            <w:pPr>
              <w:spacing w:after="0" w:line="264"/>
            </w:pPr>
            <w:r>
              <w:rPr>
                <w:color w:val="1A1A1A"/>
                <w:sz w:val="17"/>
                <w:szCs w:val="17"/>
              </w:rPr>
              <w:t xml:space="preserve">Declined - US-only; EN 50549-2 / G99 offered</w:t>
            </w:r>
          </w:p>
        </w:tc>
        <w:tc>
          <w:tcPr>
            <w:tcW w:type="dxa" w:w="4333"/>
            <w:shd w:fill="FFFFFF" w:color="auto" w:val="clear"/>
            <w:tcMar>
              <w:top w:type="dxa" w:w="90"/>
              <w:left w:type="dxa" w:w="120"/>
              <w:bottom w:type="dxa" w:w="90"/>
              <w:right w:type="dxa" w:w="120"/>
            </w:tcMar>
          </w:tcPr>
          <w:p>
            <w:pPr>
              <w:spacing w:after="0" w:line="264"/>
            </w:pPr>
            <w:r>
              <w:rPr>
                <w:color w:val="C00000"/>
                <w:sz w:val="17"/>
                <w:szCs w:val="17"/>
              </w:rPr>
              <w:t xml:space="preserve">Envision to state the clause-level equivalence argument.</w:t>
            </w:r>
          </w:p>
        </w:tc>
      </w:tr>
      <w:tr>
        <w:tc>
          <w:tcPr>
            <w:tcW w:type="dxa" w:w="1806"/>
            <w:shd w:fill="F2F5F7" w:color="auto" w:val="clear"/>
            <w:tcMar>
              <w:top w:type="dxa" w:w="90"/>
              <w:left w:type="dxa" w:w="120"/>
              <w:bottom w:type="dxa" w:w="90"/>
              <w:right w:type="dxa" w:w="120"/>
            </w:tcMar>
          </w:tcPr>
          <w:p>
            <w:pPr>
              <w:spacing w:after="0" w:line="264"/>
            </w:pPr>
            <w:r>
              <w:rPr>
                <w:color w:val="1A1A1A"/>
                <w:sz w:val="17"/>
                <w:szCs w:val="17"/>
              </w:rPr>
              <w:t xml:space="preserve">IEC TS 62786-3</w:t>
            </w:r>
          </w:p>
        </w:tc>
        <w:tc>
          <w:tcPr>
            <w:tcW w:type="dxa" w:w="2889"/>
            <w:shd w:fill="F2F5F7" w:color="auto" w:val="clear"/>
            <w:tcMar>
              <w:top w:type="dxa" w:w="90"/>
              <w:left w:type="dxa" w:w="120"/>
              <w:bottom w:type="dxa" w:w="90"/>
              <w:right w:type="dxa" w:w="120"/>
            </w:tcMar>
          </w:tcPr>
          <w:p>
            <w:pPr>
              <w:spacing w:after="0" w:line="264"/>
            </w:pPr>
            <w:r>
              <w:rPr>
                <w:color w:val="1A1A1A"/>
                <w:sz w:val="17"/>
                <w:szCs w:val="17"/>
              </w:rPr>
              <w:t xml:space="preserve">Not applicable - string-PCS standard; centralised PCS offered</w:t>
            </w:r>
          </w:p>
        </w:tc>
        <w:tc>
          <w:tcPr>
            <w:tcW w:type="dxa" w:w="4333"/>
            <w:shd w:fill="F2F5F7" w:color="auto" w:val="clear"/>
            <w:tcMar>
              <w:top w:type="dxa" w:w="90"/>
              <w:left w:type="dxa" w:w="120"/>
              <w:bottom w:type="dxa" w:w="90"/>
              <w:right w:type="dxa" w:w="120"/>
            </w:tcMar>
          </w:tcPr>
          <w:p>
            <w:pPr>
              <w:spacing w:after="0" w:line="264"/>
            </w:pPr>
            <w:r>
              <w:rPr>
                <w:color w:val="1A1A1A"/>
                <w:sz w:val="17"/>
                <w:szCs w:val="17"/>
              </w:rPr>
              <w:t xml:space="preserve">Position is sustainable as stated.</w:t>
            </w:r>
          </w:p>
        </w:tc>
      </w:tr>
      <w:tr>
        <w:tc>
          <w:tcPr>
            <w:tcW w:type="dxa" w:w="1806"/>
            <w:shd w:fill="FFFFFF" w:color="auto" w:val="clear"/>
            <w:tcMar>
              <w:top w:type="dxa" w:w="90"/>
              <w:left w:type="dxa" w:w="120"/>
              <w:bottom w:type="dxa" w:w="90"/>
              <w:right w:type="dxa" w:w="120"/>
            </w:tcMar>
          </w:tcPr>
          <w:p>
            <w:pPr>
              <w:spacing w:after="0" w:line="264"/>
            </w:pPr>
            <w:r>
              <w:rPr>
                <w:color w:val="1A1A1A"/>
                <w:sz w:val="17"/>
                <w:szCs w:val="17"/>
              </w:rPr>
              <w:t xml:space="preserve">Sri Lanka Grid Connection Code (July 2024)</w:t>
            </w:r>
          </w:p>
        </w:tc>
        <w:tc>
          <w:tcPr>
            <w:tcW w:type="dxa" w:w="2889"/>
            <w:shd w:fill="FFFFFF" w:color="auto" w:val="clear"/>
            <w:tcMar>
              <w:top w:type="dxa" w:w="90"/>
              <w:left w:type="dxa" w:w="120"/>
              <w:bottom w:type="dxa" w:w="90"/>
              <w:right w:type="dxa" w:w="120"/>
            </w:tcMar>
          </w:tcPr>
          <w:p>
            <w:pPr>
              <w:spacing w:after="0" w:line="264"/>
            </w:pPr>
            <w:r>
              <w:rPr>
                <w:color w:val="1A1A1A"/>
                <w:sz w:val="17"/>
                <w:szCs w:val="17"/>
              </w:rPr>
              <w:t xml:space="preserve">Checklist item 36 marked Not Received, no remark</w:t>
            </w:r>
          </w:p>
        </w:tc>
        <w:tc>
          <w:tcPr>
            <w:tcW w:type="dxa" w:w="4333"/>
            <w:shd w:fill="FFFFFF" w:color="auto" w:val="clear"/>
            <w:tcMar>
              <w:top w:type="dxa" w:w="90"/>
              <w:left w:type="dxa" w:w="120"/>
              <w:bottom w:type="dxa" w:w="90"/>
              <w:right w:type="dxa" w:w="120"/>
            </w:tcMar>
          </w:tcPr>
          <w:p>
            <w:pPr>
              <w:spacing w:after="0" w:line="264"/>
            </w:pPr>
            <w:r>
              <w:rPr>
                <w:color w:val="1A1A1A"/>
                <w:sz w:val="17"/>
                <w:szCs w:val="17"/>
              </w:rPr>
              <w:t xml:space="preserve">STALE STATUS: item 61, the Grid Compliance List of 11 August 2026, post-dates the checklist and largely answers it. Bidder to update the workbook.</w:t>
            </w:r>
          </w:p>
        </w:tc>
      </w:tr>
    </w:tbl>
    <w:p>
      <w:pPr>
        <w:spacing w:after="120" w:line="276"/>
      </w:pPr>
      <w:r>
        <w:rPr>
          <w:i/>
          <w:iCs/>
          <w:color w:val="5A6472"/>
          <w:sz w:val="16"/>
          <w:szCs w:val="16"/>
        </w:rPr>
        <w:t xml:space="preserve">Source: 21 August evidence dossier, checklist sections C and D; clarification 62.</w:t>
      </w:r>
    </w:p>
    <w:p>
      <w:pPr>
        <w:pStyle w:val="Heading1"/>
        <w:spacing w:after="140" w:before="320"/>
      </w:pPr>
      <w:r>
        <w:rPr>
          <w:b/>
          <w:bCs/>
          <w:color w:val="123B5D"/>
          <w:sz w:val="26"/>
          <w:szCs w:val="26"/>
        </w:rPr>
        <w:t xml:space="preserve">12. Capacity maintenance, availability and end of life</w:t>
      </w:r>
    </w:p>
    <w:tbl>
      <w:tblPr>
        <w:tblW w:type="dxa" w:w="9028"/>
        <w:tblBorders>
          <w:top w:val="none" w:color="auto" w:sz="0"/>
          <w:left w:val="single" w:color="123B5D" w:sz="18"/>
          <w:bottom w:val="none" w:color="auto" w:sz="0"/>
          <w:right w:val="none" w:color="auto" w:sz="0"/>
          <w:insideH w:val="none" w:color="auto" w:sz="0"/>
          <w:insideV w:val="none" w:color="auto" w:sz="0"/>
        </w:tblBorders>
      </w:tblPr>
      <w:tblGrid>
        <w:gridCol w:w="9028"/>
      </w:tblGrid>
      <w:tr>
        <w:tc>
          <w:tcPr>
            <w:tcW w:type="dxa" w:w="9028"/>
            <w:shd w:fill="F2F5F7" w:color="auto" w:val="clear"/>
            <w:tcMar>
              <w:top w:type="dxa" w:w="140"/>
              <w:left w:type="dxa" w:w="180"/>
              <w:bottom w:type="dxa" w:w="140"/>
              <w:right w:type="dxa" w:w="180"/>
            </w:tcMar>
          </w:tcPr>
          <w:p>
            <w:pPr>
              <w:spacing w:after="0" w:line="264"/>
            </w:pPr>
            <w:r>
              <w:rPr>
                <w:b/>
                <w:bCs/>
                <w:color w:val="1A1A1A"/>
                <w:sz w:val="18"/>
                <w:szCs w:val="18"/>
              </w:rPr>
              <w:t xml:space="preserve">BLACK = sourced from a received document | RED = drafted gap-fill, unverified, for Envision to confirm or replace</w:t>
            </w:r>
          </w:p>
        </w:tc>
      </w:tr>
    </w:tbl>
    <w:p>
      <w:pPr>
        <w:spacing w:after="120" w:line="276"/>
      </w:pPr>
      <w:r>
        <w:t xml:space="preserve"/>
      </w:r>
    </w:p>
    <w:p>
      <w:pPr>
        <w:pStyle w:val="ListParagraph"/>
        <w:numPr>
          <w:ilvl w:val="0"/>
          <w:numId w:val="2"/>
        </w:numPr>
        <w:spacing w:after="140" w:line="276"/>
      </w:pPr>
      <w:r>
        <w:rPr>
          <w:color w:val="C00000"/>
          <w:sz w:val="19"/>
          <w:szCs w:val="19"/>
        </w:rPr>
        <w:t xml:space="preserve">Capacity Maintenance Plan (Volume I §3.1(m)). Envision to issue a plan, not a curve. It must state beginning-of-life energy at the Termination Point against the contracted rating; the augmentation schedule in MWh and timing, or an express and substantiated statement that none is required; module and rack replacement intervals; the augmentation and outage interface with NSO; and end-of-life decommissioning and recycling commitments.</w:t>
      </w:r>
    </w:p>
    <w:p>
      <w:pPr>
        <w:pStyle w:val="ListParagraph"/>
        <w:numPr>
          <w:ilvl w:val="0"/>
          <w:numId w:val="2"/>
        </w:numPr>
        <w:spacing w:after="140" w:line="276"/>
      </w:pPr>
      <w:r>
        <w:rPr>
          <w:color w:val="C00000"/>
          <w:sz w:val="19"/>
          <w:szCs w:val="19"/>
        </w:rPr>
        <w:t xml:space="preserve">Augmentation. Checklist items 55 and 56 declare that no augmentation and no replacement are needed during the lifetime, and both status cells are blank. That declaration is supportable only near 25 C cell temperature. Envision to substantiate it against the thermal case at section 5, or to replace it with a trigger-based augmentation undertaking with reserved space, compatible future cell supply, outage durations and spares.</w:t>
      </w:r>
    </w:p>
    <w:p>
      <w:pPr>
        <w:pStyle w:val="ListParagraph"/>
        <w:numPr>
          <w:ilvl w:val="0"/>
          <w:numId w:val="2"/>
        </w:numPr>
        <w:spacing w:after="140" w:line="276"/>
      </w:pPr>
      <w:r>
        <w:rPr>
          <w:color w:val="C00000"/>
          <w:sz w:val="19"/>
          <w:szCs w:val="19"/>
        </w:rPr>
        <w:t xml:space="preserve">Availability. Envision to supply a reliability block diagram, component failure rates, redundancy, MTTR, planned-maintenance schedule and spares holding sufficient to support 97 % monthly availability. This carries unusual weight: clarification 54 confirms there is no aggregate cap on liquidated damages per Contract Year or over the 15-year Term, and that capacity-charge deductions for missing 97 % availability are NOT liquidated damages and fall outside the monthly cap - so the capacity charge for a month may be reduced to LKR 0. The operator reference record shows PCS as the dominant availability risk: 68-70 hours of PCS downtime against 0 hours of cell-fault downtime.</w:t>
      </w:r>
    </w:p>
    <w:p>
      <w:pPr>
        <w:pStyle w:val="ListParagraph"/>
        <w:numPr>
          <w:ilvl w:val="0"/>
          <w:numId w:val="2"/>
        </w:numPr>
        <w:spacing w:after="140" w:line="276"/>
      </w:pPr>
      <w:r>
        <w:rPr>
          <w:color w:val="C00000"/>
          <w:sz w:val="19"/>
          <w:szCs w:val="19"/>
        </w:rPr>
        <w:t xml:space="preserve">End of life. The document currently filed at checklist item 57 is a mechanical disassembly work instruction; a keyword sweep of it returns zero occurrences of recycling, disposal, waste, take-back, second-life or Sri Lanka environmental regulation. Envision to supply a genuine commitment: the take-back or recycling route, the receiving facility and its jurisdiction, treatment of the LFP chemistry, and express reference to the applicable Sri Lankan environmental regulations.</w:t>
      </w:r>
    </w:p>
    <w:p>
      <w:pPr>
        <w:pStyle w:val="ListParagraph"/>
        <w:numPr>
          <w:ilvl w:val="0"/>
          <w:numId w:val="2"/>
        </w:numPr>
        <w:spacing w:after="140" w:line="276"/>
      </w:pPr>
      <w:r>
        <w:rPr>
          <w:color w:val="C00000"/>
          <w:sz w:val="19"/>
          <w:szCs w:val="19"/>
        </w:rPr>
        <w:t xml:space="preserve">Service life (Volume I §3.1(l)). Envision to confirm 20-year design life for non-battery equipment and 15-year for cells, modules and racks under the ESA duty cycle. The 20-year letter currently held is self-certified - the checklist itself records 'No certification to prove this but we provided a statement'.</w:t>
      </w:r>
    </w:p>
    <w:p>
      <w:pPr>
        <w:pStyle w:val="Heading1"/>
        <w:spacing w:after="140" w:before="320"/>
      </w:pPr>
      <w:r>
        <w:rPr>
          <w:b/>
          <w:bCs/>
          <w:color w:val="123B5D"/>
          <w:sz w:val="26"/>
          <w:szCs w:val="26"/>
        </w:rPr>
        <w:t xml:space="preserve">13. Qualification and corporate</w:t>
      </w:r>
    </w:p>
    <w:tbl>
      <w:tblPr>
        <w:tblW w:type="dxa" w:w="9028"/>
        <w:tblBorders>
          <w:top w:val="none" w:color="auto" w:sz="0"/>
          <w:left w:val="single" w:color="123B5D" w:sz="18"/>
          <w:bottom w:val="none" w:color="auto" w:sz="0"/>
          <w:right w:val="none" w:color="auto" w:sz="0"/>
          <w:insideH w:val="none" w:color="auto" w:sz="0"/>
          <w:insideV w:val="none" w:color="auto" w:sz="0"/>
        </w:tblBorders>
      </w:tblPr>
      <w:tblGrid>
        <w:gridCol w:w="9028"/>
      </w:tblGrid>
      <w:tr>
        <w:tc>
          <w:tcPr>
            <w:tcW w:type="dxa" w:w="9028"/>
            <w:shd w:fill="F2F5F7" w:color="auto" w:val="clear"/>
            <w:tcMar>
              <w:top w:type="dxa" w:w="140"/>
              <w:left w:type="dxa" w:w="180"/>
              <w:bottom w:type="dxa" w:w="140"/>
              <w:right w:type="dxa" w:w="180"/>
            </w:tcMar>
          </w:tcPr>
          <w:p>
            <w:pPr>
              <w:spacing w:after="0" w:line="264"/>
            </w:pPr>
            <w:r>
              <w:rPr>
                <w:b/>
                <w:bCs/>
                <w:color w:val="1A1A1A"/>
                <w:sz w:val="18"/>
                <w:szCs w:val="18"/>
              </w:rPr>
              <w:t xml:space="preserve">BLACK = sourced from a received document | RED = drafted gap-fill, unverified, for Envision to confirm or replace</w:t>
            </w:r>
          </w:p>
        </w:tc>
      </w:tr>
    </w:tbl>
    <w:p>
      <w:pPr>
        <w:spacing w:after="120" w:line="276"/>
      </w:pPr>
      <w:r>
        <w:t xml:space="preserve"/>
      </w:r>
    </w:p>
    <w:tbl>
      <w:tblPr>
        <w:tblW w:type="dxa" w:w="9028"/>
        <w:tblBorders>
          <w:top w:val="single" w:color="C9D2DA" w:sz="6"/>
          <w:left w:val="none" w:color="auto" w:sz="0"/>
          <w:bottom w:val="single" w:color="C9D2DA" w:sz="6"/>
          <w:right w:val="none" w:color="auto" w:sz="0"/>
          <w:insideH w:val="single" w:color="C9D2DA" w:sz="4"/>
          <w:insideV w:val="none" w:color="auto" w:sz="0"/>
        </w:tblBorders>
      </w:tblPr>
      <w:tblGrid>
        <w:gridCol w:w="1806"/>
        <w:gridCol w:w="2889"/>
        <w:gridCol w:w="4333"/>
      </w:tblGrid>
      <w:tr>
        <w:trPr>
          <w:tblHeader/>
        </w:trPr>
        <w:tc>
          <w:tcPr>
            <w:tcW w:type="dxa" w:w="1806"/>
            <w:shd w:fill="123B5D" w:color="auto" w:val="clear"/>
            <w:tcMar>
              <w:top w:type="dxa" w:w="90"/>
              <w:left w:type="dxa" w:w="120"/>
              <w:bottom w:type="dxa" w:w="90"/>
              <w:right w:type="dxa" w:w="120"/>
            </w:tcMar>
          </w:tcPr>
          <w:p>
            <w:pPr>
              <w:spacing w:after="0"/>
            </w:pPr>
            <w:r>
              <w:rPr>
                <w:b/>
                <w:bCs/>
                <w:color w:val="FFFFFF"/>
                <w:sz w:val="17"/>
                <w:szCs w:val="17"/>
              </w:rPr>
              <w:t xml:space="preserve">Requirement</w:t>
            </w:r>
          </w:p>
        </w:tc>
        <w:tc>
          <w:tcPr>
            <w:tcW w:type="dxa" w:w="2889"/>
            <w:shd w:fill="123B5D" w:color="auto" w:val="clear"/>
            <w:tcMar>
              <w:top w:type="dxa" w:w="90"/>
              <w:left w:type="dxa" w:w="120"/>
              <w:bottom w:type="dxa" w:w="90"/>
              <w:right w:type="dxa" w:w="120"/>
            </w:tcMar>
          </w:tcPr>
          <w:p>
            <w:pPr>
              <w:spacing w:after="0"/>
            </w:pPr>
            <w:r>
              <w:rPr>
                <w:b/>
                <w:bCs/>
                <w:color w:val="FFFFFF"/>
                <w:sz w:val="17"/>
                <w:szCs w:val="17"/>
              </w:rPr>
              <w:t xml:space="preserve">Position</w:t>
            </w:r>
          </w:p>
        </w:tc>
        <w:tc>
          <w:tcPr>
            <w:tcW w:type="dxa" w:w="4333"/>
            <w:shd w:fill="123B5D" w:color="auto" w:val="clear"/>
            <w:tcMar>
              <w:top w:type="dxa" w:w="90"/>
              <w:left w:type="dxa" w:w="120"/>
              <w:bottom w:type="dxa" w:w="90"/>
              <w:right w:type="dxa" w:w="120"/>
            </w:tcMar>
          </w:tcPr>
          <w:p>
            <w:pPr>
              <w:spacing w:after="0"/>
            </w:pPr>
            <w:r>
              <w:rPr>
                <w:b/>
                <w:bCs/>
                <w:color w:val="FFFFFF"/>
                <w:sz w:val="17"/>
                <w:szCs w:val="17"/>
              </w:rPr>
              <w:t xml:space="preserve">Action</w:t>
            </w:r>
          </w:p>
        </w:tc>
      </w:tr>
      <w:tr>
        <w:tc>
          <w:tcPr>
            <w:tcW w:type="dxa" w:w="1806"/>
            <w:shd w:fill="FBEFEF" w:color="auto" w:val="clear"/>
            <w:tcMar>
              <w:top w:type="dxa" w:w="90"/>
              <w:left w:type="dxa" w:w="120"/>
              <w:bottom w:type="dxa" w:w="90"/>
              <w:right w:type="dxa" w:w="120"/>
            </w:tcMar>
          </w:tcPr>
          <w:p>
            <w:pPr>
              <w:spacing w:after="0" w:line="264"/>
            </w:pPr>
            <w:r>
              <w:rPr>
                <w:color w:val="1A1A1A"/>
                <w:sz w:val="17"/>
                <w:szCs w:val="17"/>
              </w:rPr>
              <w:t xml:space="preserve">Manufacturer track record (Volume I clause 2.7.3)</w:t>
            </w:r>
          </w:p>
        </w:tc>
        <w:tc>
          <w:tcPr>
            <w:tcW w:type="dxa" w:w="2889"/>
            <w:shd w:fill="FBEFEF" w:color="auto" w:val="clear"/>
            <w:tcMar>
              <w:top w:type="dxa" w:w="90"/>
              <w:left w:type="dxa" w:w="120"/>
              <w:bottom w:type="dxa" w:w="90"/>
              <w:right w:type="dxa" w:w="120"/>
            </w:tcMar>
          </w:tcPr>
          <w:p>
            <w:pPr>
              <w:spacing w:after="0" w:line="264"/>
            </w:pPr>
            <w:r>
              <w:rPr>
                <w:color w:val="1A1A1A"/>
                <w:sz w:val="17"/>
                <w:szCs w:val="17"/>
              </w:rPr>
              <w:t xml:space="preserve">Envision Energy letter: 18.7 GW / 52.6 GWh contracted; 33.5 GWh shipped; 20.65 GWh at COD</w:t>
            </w:r>
          </w:p>
        </w:tc>
        <w:tc>
          <w:tcPr>
            <w:tcW w:type="dxa" w:w="4333"/>
            <w:shd w:fill="FBEFEF" w:color="auto" w:val="clear"/>
            <w:tcMar>
              <w:top w:type="dxa" w:w="90"/>
              <w:left w:type="dxa" w:w="120"/>
              <w:bottom w:type="dxa" w:w="90"/>
              <w:right w:type="dxa" w:w="120"/>
            </w:tcMar>
          </w:tcPr>
          <w:p>
            <w:pPr>
              <w:spacing w:after="0" w:line="264"/>
            </w:pPr>
            <w:r>
              <w:rPr>
                <w:color w:val="C00000"/>
                <w:sz w:val="17"/>
                <w:szCs w:val="17"/>
              </w:rPr>
              <w:t xml:space="preserve">Clarification 58(a)-(b) settles that the threshold is CUMULATIVE GLOBAL INSTALLED / COMMISSIONED volume, 'because the requirement says installed'. The qualifying figure is therefore the 20.65 GWh at COD - not the 52.6 GWh contracted or 33.5 GWh shipped. The bid should quote 20.65 GWh.</w:t>
            </w:r>
          </w:p>
        </w:tc>
      </w:tr>
      <w:tr>
        <w:tc>
          <w:tcPr>
            <w:tcW w:type="dxa" w:w="1806"/>
            <w:shd w:fill="F2F5F7" w:color="auto" w:val="clear"/>
            <w:tcMar>
              <w:top w:type="dxa" w:w="90"/>
              <w:left w:type="dxa" w:w="120"/>
              <w:bottom w:type="dxa" w:w="90"/>
              <w:right w:type="dxa" w:w="120"/>
            </w:tcMar>
          </w:tcPr>
          <w:p>
            <w:pPr>
              <w:spacing w:after="0" w:line="264"/>
            </w:pPr>
            <w:r>
              <w:rPr>
                <w:color w:val="1A1A1A"/>
                <w:sz w:val="17"/>
                <w:szCs w:val="17"/>
              </w:rPr>
              <w:t xml:space="preserve">Whose experience qualifies</w:t>
            </w:r>
          </w:p>
        </w:tc>
        <w:tc>
          <w:tcPr>
            <w:tcW w:type="dxa" w:w="2889"/>
            <w:shd w:fill="F2F5F7" w:color="auto" w:val="clear"/>
            <w:tcMar>
              <w:top w:type="dxa" w:w="90"/>
              <w:left w:type="dxa" w:w="120"/>
              <w:bottom w:type="dxa" w:w="90"/>
              <w:right w:type="dxa" w:w="120"/>
            </w:tcMar>
          </w:tcPr>
          <w:p>
            <w:pPr>
              <w:spacing w:after="0" w:line="264"/>
            </w:pPr>
            <w:r>
              <w:rPr>
                <w:color w:val="1A1A1A"/>
                <w:sz w:val="17"/>
                <w:szCs w:val="17"/>
              </w:rPr>
              <w:t xml:space="preserve">Track record in Envision Energy's name; EOI signed by an affiliated supply entity; cell certificates in the cell-manufacturing entity's name</w:t>
            </w:r>
          </w:p>
        </w:tc>
        <w:tc>
          <w:tcPr>
            <w:tcW w:type="dxa" w:w="4333"/>
            <w:shd w:fill="F2F5F7" w:color="auto" w:val="clear"/>
            <w:tcMar>
              <w:top w:type="dxa" w:w="90"/>
              <w:left w:type="dxa" w:w="120"/>
              <w:bottom w:type="dxa" w:w="90"/>
              <w:right w:type="dxa" w:w="120"/>
            </w:tcMar>
          </w:tcPr>
          <w:p>
            <w:pPr>
              <w:spacing w:after="0" w:line="264"/>
            </w:pPr>
            <w:r>
              <w:rPr>
                <w:color w:val="1A1A1A"/>
                <w:sz w:val="17"/>
                <w:szCs w:val="17"/>
              </w:rPr>
              <w:t xml:space="preserve">Clarification 58(e): 'The qualification should be satisfied based on the manufacturer/component supplier's experience, and therefore need not be experience of the Project Proponent itself.' </w:t>
            </w:r>
            <w:r>
              <w:rPr>
                <w:color w:val="C00000"/>
                <w:sz w:val="17"/>
                <w:szCs w:val="17"/>
              </w:rPr>
              <w:t xml:space="preserve">Residual: which group entity holds it. Envision to confirm in writing that Envision Energy's track record is available to and may be relied upon by the entity that signed the EOI letters, with any parent guarantee needed to make that reliance effective.</w:t>
            </w:r>
          </w:p>
        </w:tc>
      </w:tr>
      <w:tr>
        <w:tc>
          <w:tcPr>
            <w:tcW w:type="dxa" w:w="1806"/>
            <w:shd w:fill="FBEFEF" w:color="auto" w:val="clear"/>
            <w:tcMar>
              <w:top w:type="dxa" w:w="90"/>
              <w:left w:type="dxa" w:w="120"/>
              <w:bottom w:type="dxa" w:w="90"/>
              <w:right w:type="dxa" w:w="120"/>
            </w:tcMar>
          </w:tcPr>
          <w:p>
            <w:pPr>
              <w:spacing w:after="0" w:line="264"/>
            </w:pPr>
            <w:r>
              <w:rPr>
                <w:color w:val="1A1A1A"/>
                <w:sz w:val="17"/>
                <w:szCs w:val="17"/>
              </w:rPr>
              <w:t xml:space="preserve">Manufacturer's Authorization Letter</w:t>
            </w:r>
          </w:p>
        </w:tc>
        <w:tc>
          <w:tcPr>
            <w:tcW w:type="dxa" w:w="2889"/>
            <w:shd w:fill="FBEFEF" w:color="auto" w:val="clear"/>
            <w:tcMar>
              <w:top w:type="dxa" w:w="90"/>
              <w:left w:type="dxa" w:w="120"/>
              <w:bottom w:type="dxa" w:w="90"/>
              <w:right w:type="dxa" w:w="120"/>
            </w:tcMar>
          </w:tcPr>
          <w:p>
            <w:pPr>
              <w:spacing w:after="0" w:line="264"/>
            </w:pPr>
            <w:r>
              <w:rPr>
                <w:color w:val="1A1A1A"/>
                <w:sz w:val="17"/>
                <w:szCs w:val="17"/>
              </w:rPr>
              <w:t xml:space="preserve">Checklist item 58 marked Received; three EOI letters present; NO MAL in the package</w:t>
            </w:r>
          </w:p>
        </w:tc>
        <w:tc>
          <w:tcPr>
            <w:tcW w:type="dxa" w:w="4333"/>
            <w:shd w:fill="FBEFEF" w:color="auto" w:val="clear"/>
            <w:tcMar>
              <w:top w:type="dxa" w:w="90"/>
              <w:left w:type="dxa" w:w="120"/>
              <w:bottom w:type="dxa" w:w="90"/>
              <w:right w:type="dxa" w:w="120"/>
            </w:tcMar>
          </w:tcPr>
          <w:p>
            <w:pPr>
              <w:spacing w:after="0" w:line="264"/>
            </w:pPr>
            <w:r>
              <w:rPr>
                <w:color w:val="C00000"/>
                <w:sz w:val="17"/>
                <w:szCs w:val="17"/>
              </w:rPr>
              <w:t xml:space="preserve">Envision to issue the MAL on company letterhead.</w:t>
            </w:r>
          </w:p>
        </w:tc>
      </w:tr>
      <w:tr>
        <w:tc>
          <w:tcPr>
            <w:tcW w:type="dxa" w:w="1806"/>
            <w:shd w:fill="FBEFEF" w:color="auto" w:val="clear"/>
            <w:tcMar>
              <w:top w:type="dxa" w:w="90"/>
              <w:left w:type="dxa" w:w="120"/>
              <w:bottom w:type="dxa" w:w="90"/>
              <w:right w:type="dxa" w:w="120"/>
            </w:tcMar>
          </w:tcPr>
          <w:p>
            <w:pPr>
              <w:spacing w:after="0" w:line="264"/>
            </w:pPr>
            <w:r>
              <w:rPr>
                <w:color w:val="1A1A1A"/>
                <w:sz w:val="17"/>
                <w:szCs w:val="17"/>
              </w:rPr>
              <w:t xml:space="preserve">Offered PCS track record</w:t>
            </w:r>
          </w:p>
        </w:tc>
        <w:tc>
          <w:tcPr>
            <w:tcW w:type="dxa" w:w="2889"/>
            <w:shd w:fill="FBEFEF" w:color="auto" w:val="clear"/>
            <w:tcMar>
              <w:top w:type="dxa" w:w="90"/>
              <w:left w:type="dxa" w:w="120"/>
              <w:bottom w:type="dxa" w:w="90"/>
              <w:right w:type="dxa" w:w="120"/>
            </w:tcMar>
          </w:tcPr>
          <w:p>
            <w:pPr>
              <w:spacing w:after="0" w:line="264"/>
            </w:pPr>
            <w:r>
              <w:rPr>
                <w:color w:val="1A1A1A"/>
                <w:sz w:val="17"/>
                <w:szCs w:val="17"/>
              </w:rPr>
              <w:t xml:space="preserve">22 PCS reference projects listed, using ENPCS 2750, 3450, 3300 and 2500. The offered ENPCS2520 appears in none</w:t>
            </w:r>
          </w:p>
        </w:tc>
        <w:tc>
          <w:tcPr>
            <w:tcW w:type="dxa" w:w="4333"/>
            <w:shd w:fill="FBEFEF" w:color="auto" w:val="clear"/>
            <w:tcMar>
              <w:top w:type="dxa" w:w="90"/>
              <w:left w:type="dxa" w:w="120"/>
              <w:bottom w:type="dxa" w:w="90"/>
              <w:right w:type="dxa" w:w="120"/>
            </w:tcMar>
          </w:tcPr>
          <w:p>
            <w:pPr>
              <w:spacing w:after="0" w:line="264"/>
            </w:pPr>
            <w:r>
              <w:rPr>
                <w:color w:val="C00000"/>
                <w:sz w:val="17"/>
                <w:szCs w:val="17"/>
              </w:rPr>
              <w:t xml:space="preserve">Envision to explain the ENPCS2520's relationship to the referenced family and identify any commissioned ENPCS2520 units with project, location and commissioning date. Clarification 58(c) accepts a manufacturer declaration on letterhead carrying product, installed quantity, project, location, commissioning date and manufacturer.</w:t>
            </w:r>
          </w:p>
        </w:tc>
      </w:tr>
      <w:tr>
        <w:tc>
          <w:tcPr>
            <w:tcW w:type="dxa" w:w="1806"/>
            <w:shd w:fill="FFFFFF" w:color="auto" w:val="clear"/>
            <w:tcMar>
              <w:top w:type="dxa" w:w="90"/>
              <w:left w:type="dxa" w:w="120"/>
              <w:bottom w:type="dxa" w:w="90"/>
              <w:right w:type="dxa" w:w="120"/>
            </w:tcMar>
          </w:tcPr>
          <w:p>
            <w:pPr>
              <w:spacing w:after="0" w:line="264"/>
            </w:pPr>
            <w:r>
              <w:rPr>
                <w:color w:val="1A1A1A"/>
                <w:sz w:val="17"/>
                <w:szCs w:val="17"/>
              </w:rPr>
              <w:t xml:space="preserve">Reference contact details</w:t>
            </w:r>
          </w:p>
        </w:tc>
        <w:tc>
          <w:tcPr>
            <w:tcW w:type="dxa" w:w="2889"/>
            <w:shd w:fill="FFFFFF" w:color="auto" w:val="clear"/>
            <w:tcMar>
              <w:top w:type="dxa" w:w="90"/>
              <w:left w:type="dxa" w:w="120"/>
              <w:bottom w:type="dxa" w:w="90"/>
              <w:right w:type="dxa" w:w="120"/>
            </w:tcMar>
          </w:tcPr>
          <w:p>
            <w:pPr>
              <w:spacing w:after="0" w:line="264"/>
            </w:pPr>
            <w:r>
              <w:rPr>
                <w:color w:val="1A1A1A"/>
                <w:sz w:val="17"/>
                <w:szCs w:val="17"/>
              </w:rPr>
              <w:t xml:space="preserve">Client contact column empty for every PCS and PPC row; workbook self-labelled '(part)'</w:t>
            </w:r>
          </w:p>
        </w:tc>
        <w:tc>
          <w:tcPr>
            <w:tcW w:type="dxa" w:w="4333"/>
            <w:shd w:fill="FFFFFF" w:color="auto" w:val="clear"/>
            <w:tcMar>
              <w:top w:type="dxa" w:w="90"/>
              <w:left w:type="dxa" w:w="120"/>
              <w:bottom w:type="dxa" w:w="90"/>
              <w:right w:type="dxa" w:w="120"/>
            </w:tcMar>
          </w:tcPr>
          <w:p>
            <w:pPr>
              <w:spacing w:after="0" w:line="264"/>
            </w:pPr>
            <w:r>
              <w:rPr>
                <w:color w:val="C00000"/>
                <w:sz w:val="17"/>
                <w:szCs w:val="17"/>
              </w:rPr>
              <w:t xml:space="preserve">Envision to complete the contact column and issue the workbook in full.</w:t>
            </w:r>
          </w:p>
        </w:tc>
      </w:tr>
      <w:tr>
        <w:tc>
          <w:tcPr>
            <w:tcW w:type="dxa" w:w="1806"/>
            <w:shd w:fill="F2F5F7" w:color="auto" w:val="clear"/>
            <w:tcMar>
              <w:top w:type="dxa" w:w="90"/>
              <w:left w:type="dxa" w:w="120"/>
              <w:bottom w:type="dxa" w:w="90"/>
              <w:right w:type="dxa" w:w="120"/>
            </w:tcMar>
          </w:tcPr>
          <w:p>
            <w:pPr>
              <w:spacing w:after="0" w:line="264"/>
            </w:pPr>
            <w:r>
              <w:rPr>
                <w:color w:val="1A1A1A"/>
                <w:sz w:val="17"/>
                <w:szCs w:val="17"/>
              </w:rPr>
              <w:t xml:space="preserve">Operating references</w:t>
            </w:r>
          </w:p>
        </w:tc>
        <w:tc>
          <w:tcPr>
            <w:tcW w:type="dxa" w:w="2889"/>
            <w:shd w:fill="F2F5F7" w:color="auto" w:val="clear"/>
            <w:tcMar>
              <w:top w:type="dxa" w:w="90"/>
              <w:left w:type="dxa" w:w="120"/>
              <w:bottom w:type="dxa" w:w="90"/>
              <w:right w:type="dxa" w:w="120"/>
            </w:tcMar>
          </w:tcPr>
          <w:p>
            <w:pPr>
              <w:spacing w:after="0" w:line="264"/>
            </w:pPr>
            <w:r>
              <w:rPr>
                <w:color w:val="1A1A1A"/>
                <w:sz w:val="17"/>
                <w:szCs w:val="17"/>
              </w:rPr>
              <w:t xml:space="preserve">Four operator letters. Two named-grid projects report 98.2 % availability to 1 March 2024, with 0 h cell-fault, 36-43 h DC-system, 68-70 h PCS and 1 h EMS downtime</w:t>
            </w:r>
          </w:p>
        </w:tc>
        <w:tc>
          <w:tcPr>
            <w:tcW w:type="dxa" w:w="4333"/>
            <w:shd w:fill="F2F5F7" w:color="auto" w:val="clear"/>
            <w:tcMar>
              <w:top w:type="dxa" w:w="90"/>
              <w:left w:type="dxa" w:w="120"/>
              <w:bottom w:type="dxa" w:w="90"/>
              <w:right w:type="dxa" w:w="120"/>
            </w:tcMar>
          </w:tcPr>
          <w:p>
            <w:pPr>
              <w:spacing w:after="0" w:line="264"/>
            </w:pPr>
            <w:r>
              <w:rPr>
                <w:color w:val="1A1A1A"/>
                <w:sz w:val="17"/>
                <w:szCs w:val="17"/>
              </w:rPr>
              <w:t xml:space="preserve">None of the four demonstrates grid-forming operation. </w:t>
            </w:r>
            <w:r>
              <w:rPr>
                <w:color w:val="C00000"/>
                <w:sz w:val="17"/>
                <w:szCs w:val="17"/>
              </w:rPr>
              <w:t xml:space="preserve">Envision to identify any grid-forming reference installation.</w:t>
            </w:r>
          </w:p>
        </w:tc>
      </w:tr>
    </w:tbl>
    <w:p>
      <w:pPr>
        <w:spacing w:after="120" w:line="276"/>
      </w:pPr>
      <w:r>
        <w:rPr>
          <w:i/>
          <w:iCs/>
          <w:color w:val="5A6472"/>
          <w:sz w:val="16"/>
          <w:szCs w:val="16"/>
        </w:rPr>
        <w:t xml:space="preserve">Source: 21 August evidence dossier; clarification register item 58.</w:t>
      </w:r>
    </w:p>
    <w:p>
      <w:pPr>
        <w:pStyle w:val="Heading1"/>
        <w:spacing w:after="140" w:before="320"/>
      </w:pPr>
      <w:r>
        <w:rPr>
          <w:b/>
          <w:bCs/>
          <w:color w:val="123B5D"/>
          <w:sz w:val="26"/>
          <w:szCs w:val="26"/>
        </w:rPr>
        <w:t xml:space="preserve">14. Commercial framework required from Envision</w:t>
      </w:r>
    </w:p>
    <w:tbl>
      <w:tblPr>
        <w:tblW w:type="dxa" w:w="9028"/>
        <w:tblBorders>
          <w:top w:val="none" w:color="auto" w:sz="0"/>
          <w:left w:val="single" w:color="123B5D" w:sz="18"/>
          <w:bottom w:val="none" w:color="auto" w:sz="0"/>
          <w:right w:val="none" w:color="auto" w:sz="0"/>
          <w:insideH w:val="none" w:color="auto" w:sz="0"/>
          <w:insideV w:val="none" w:color="auto" w:sz="0"/>
        </w:tblBorders>
      </w:tblPr>
      <w:tblGrid>
        <w:gridCol w:w="9028"/>
      </w:tblGrid>
      <w:tr>
        <w:tc>
          <w:tcPr>
            <w:tcW w:type="dxa" w:w="9028"/>
            <w:shd w:fill="F2F5F7" w:color="auto" w:val="clear"/>
            <w:tcMar>
              <w:top w:type="dxa" w:w="140"/>
              <w:left w:type="dxa" w:w="180"/>
              <w:bottom w:type="dxa" w:w="140"/>
              <w:right w:type="dxa" w:w="180"/>
            </w:tcMar>
          </w:tcPr>
          <w:p>
            <w:pPr>
              <w:spacing w:after="0" w:line="264"/>
            </w:pPr>
            <w:r>
              <w:rPr>
                <w:b/>
                <w:bCs/>
                <w:color w:val="1A1A1A"/>
                <w:sz w:val="18"/>
                <w:szCs w:val="18"/>
              </w:rPr>
              <w:t xml:space="preserve">BLACK = sourced from a received document | RED = drafted gap-fill, unverified, for Envision to confirm or replace</w:t>
            </w:r>
          </w:p>
        </w:tc>
      </w:tr>
    </w:tbl>
    <w:p>
      <w:pPr>
        <w:spacing w:after="120" w:line="276"/>
      </w:pPr>
      <w:r>
        <w:t xml:space="preserve"/>
      </w:r>
    </w:p>
    <w:p>
      <w:pPr>
        <w:spacing w:after="120" w:line="276"/>
      </w:pPr>
      <w:r>
        <w:rPr>
          <w:color w:val="1A1A1A"/>
          <w:sz w:val="19"/>
          <w:szCs w:val="19"/>
        </w:rPr>
        <w:t xml:space="preserve">The Project Company's exposure under this ESA is unusually open, and the ESA cannot be amended after the Letter of Award (Volume I §7.1, confirmed by clarification 30). Whatever back-to-back support Envision provides must be agreed before submission.</w:t>
      </w:r>
    </w:p>
    <w:tbl>
      <w:tblPr>
        <w:tblW w:type="dxa" w:w="9028"/>
        <w:tblBorders>
          <w:top w:val="single" w:color="C9D2DA" w:sz="6"/>
          <w:left w:val="none" w:color="auto" w:sz="0"/>
          <w:bottom w:val="single" w:color="C9D2DA" w:sz="6"/>
          <w:right w:val="none" w:color="auto" w:sz="0"/>
          <w:insideH w:val="single" w:color="C9D2DA" w:sz="4"/>
          <w:insideV w:val="none" w:color="auto" w:sz="0"/>
        </w:tblBorders>
      </w:tblPr>
      <w:tblGrid>
        <w:gridCol w:w="1806"/>
        <w:gridCol w:w="2889"/>
        <w:gridCol w:w="4333"/>
      </w:tblGrid>
      <w:tr>
        <w:trPr>
          <w:tblHeader/>
        </w:trPr>
        <w:tc>
          <w:tcPr>
            <w:tcW w:type="dxa" w:w="1806"/>
            <w:shd w:fill="123B5D" w:color="auto" w:val="clear"/>
            <w:tcMar>
              <w:top w:type="dxa" w:w="90"/>
              <w:left w:type="dxa" w:w="120"/>
              <w:bottom w:type="dxa" w:w="90"/>
              <w:right w:type="dxa" w:w="120"/>
            </w:tcMar>
          </w:tcPr>
          <w:p>
            <w:pPr>
              <w:spacing w:after="0"/>
            </w:pPr>
            <w:r>
              <w:rPr>
                <w:b/>
                <w:bCs/>
                <w:color w:val="FFFFFF"/>
                <w:sz w:val="17"/>
                <w:szCs w:val="17"/>
              </w:rPr>
              <w:t xml:space="preserve">ESA exposure</w:t>
            </w:r>
          </w:p>
        </w:tc>
        <w:tc>
          <w:tcPr>
            <w:tcW w:type="dxa" w:w="2889"/>
            <w:shd w:fill="123B5D" w:color="auto" w:val="clear"/>
            <w:tcMar>
              <w:top w:type="dxa" w:w="90"/>
              <w:left w:type="dxa" w:w="120"/>
              <w:bottom w:type="dxa" w:w="90"/>
              <w:right w:type="dxa" w:w="120"/>
            </w:tcMar>
          </w:tcPr>
          <w:p>
            <w:pPr>
              <w:spacing w:after="0"/>
            </w:pPr>
            <w:r>
              <w:rPr>
                <w:b/>
                <w:bCs/>
                <w:color w:val="FFFFFF"/>
                <w:sz w:val="17"/>
                <w:szCs w:val="17"/>
              </w:rPr>
              <w:t xml:space="preserve">Established by</w:t>
            </w:r>
          </w:p>
        </w:tc>
        <w:tc>
          <w:tcPr>
            <w:tcW w:type="dxa" w:w="4333"/>
            <w:shd w:fill="123B5D" w:color="auto" w:val="clear"/>
            <w:tcMar>
              <w:top w:type="dxa" w:w="90"/>
              <w:left w:type="dxa" w:w="120"/>
              <w:bottom w:type="dxa" w:w="90"/>
              <w:right w:type="dxa" w:w="120"/>
            </w:tcMar>
          </w:tcPr>
          <w:p>
            <w:pPr>
              <w:spacing w:after="0"/>
            </w:pPr>
            <w:r>
              <w:rPr>
                <w:b/>
                <w:bCs/>
                <w:color w:val="FFFFFF"/>
                <w:sz w:val="17"/>
                <w:szCs w:val="17"/>
              </w:rPr>
              <w:t xml:space="preserve">Back-to-back support required</w:t>
            </w:r>
          </w:p>
        </w:tc>
      </w:tr>
      <w:tr>
        <w:tc>
          <w:tcPr>
            <w:tcW w:type="dxa" w:w="1806"/>
            <w:shd w:fill="FBEFEF" w:color="auto" w:val="clear"/>
            <w:tcMar>
              <w:top w:type="dxa" w:w="90"/>
              <w:left w:type="dxa" w:w="120"/>
              <w:bottom w:type="dxa" w:w="90"/>
              <w:right w:type="dxa" w:w="120"/>
            </w:tcMar>
          </w:tcPr>
          <w:p>
            <w:pPr>
              <w:spacing w:after="0" w:line="264"/>
            </w:pPr>
            <w:r>
              <w:rPr>
                <w:color w:val="1A1A1A"/>
                <w:sz w:val="17"/>
                <w:szCs w:val="17"/>
              </w:rPr>
              <w:t xml:space="preserve">No aggregate cap on liquidated damages, per Contract Year or over the 15-year Term</w:t>
            </w:r>
          </w:p>
        </w:tc>
        <w:tc>
          <w:tcPr>
            <w:tcW w:type="dxa" w:w="2889"/>
            <w:shd w:fill="FBEFEF" w:color="auto" w:val="clear"/>
            <w:tcMar>
              <w:top w:type="dxa" w:w="90"/>
              <w:left w:type="dxa" w:w="120"/>
              <w:bottom w:type="dxa" w:w="90"/>
              <w:right w:type="dxa" w:w="120"/>
            </w:tcMar>
          </w:tcPr>
          <w:p>
            <w:pPr>
              <w:spacing w:after="0" w:line="264"/>
            </w:pPr>
            <w:r>
              <w:rPr>
                <w:color w:val="1A1A1A"/>
                <w:sz w:val="17"/>
                <w:szCs w:val="17"/>
              </w:rPr>
              <w:t xml:space="preserve">Clarification 54</w:t>
            </w:r>
          </w:p>
        </w:tc>
        <w:tc>
          <w:tcPr>
            <w:tcW w:type="dxa" w:w="4333"/>
            <w:shd w:fill="FBEFEF" w:color="auto" w:val="clear"/>
            <w:tcMar>
              <w:top w:type="dxa" w:w="90"/>
              <w:left w:type="dxa" w:w="120"/>
              <w:bottom w:type="dxa" w:w="90"/>
              <w:right w:type="dxa" w:w="120"/>
            </w:tcMar>
          </w:tcPr>
          <w:p>
            <w:pPr>
              <w:spacing w:after="0" w:line="264"/>
            </w:pPr>
            <w:r>
              <w:rPr>
                <w:color w:val="C00000"/>
                <w:sz w:val="17"/>
                <w:szCs w:val="17"/>
              </w:rPr>
              <w:t xml:space="preserve">Envision to confirm an aggregate liability position adequate for performance-caused losses, without excluding model or control failures.</w:t>
            </w:r>
          </w:p>
        </w:tc>
      </w:tr>
      <w:tr>
        <w:tc>
          <w:tcPr>
            <w:tcW w:type="dxa" w:w="1806"/>
            <w:shd w:fill="FBEFEF" w:color="auto" w:val="clear"/>
            <w:tcMar>
              <w:top w:type="dxa" w:w="90"/>
              <w:left w:type="dxa" w:w="120"/>
              <w:bottom w:type="dxa" w:w="90"/>
              <w:right w:type="dxa" w:w="120"/>
            </w:tcMar>
          </w:tcPr>
          <w:p>
            <w:pPr>
              <w:spacing w:after="0" w:line="264"/>
            </w:pPr>
            <w:r>
              <w:rPr>
                <w:color w:val="1A1A1A"/>
                <w:sz w:val="17"/>
                <w:szCs w:val="17"/>
              </w:rPr>
              <w:t xml:space="preserve">Capacity charge may be reduced to LKR 0 in a month missing 97 % availability, outside the monthly LD cap</w:t>
            </w:r>
          </w:p>
        </w:tc>
        <w:tc>
          <w:tcPr>
            <w:tcW w:type="dxa" w:w="2889"/>
            <w:shd w:fill="FBEFEF" w:color="auto" w:val="clear"/>
            <w:tcMar>
              <w:top w:type="dxa" w:w="90"/>
              <w:left w:type="dxa" w:w="120"/>
              <w:bottom w:type="dxa" w:w="90"/>
              <w:right w:type="dxa" w:w="120"/>
            </w:tcMar>
          </w:tcPr>
          <w:p>
            <w:pPr>
              <w:spacing w:after="0" w:line="264"/>
            </w:pPr>
            <w:r>
              <w:rPr>
                <w:color w:val="1A1A1A"/>
                <w:sz w:val="17"/>
                <w:szCs w:val="17"/>
              </w:rPr>
              <w:t xml:space="preserve">Clarification 54</w:t>
            </w:r>
          </w:p>
        </w:tc>
        <w:tc>
          <w:tcPr>
            <w:tcW w:type="dxa" w:w="4333"/>
            <w:shd w:fill="FBEFEF" w:color="auto" w:val="clear"/>
            <w:tcMar>
              <w:top w:type="dxa" w:w="90"/>
              <w:left w:type="dxa" w:w="120"/>
              <w:bottom w:type="dxa" w:w="90"/>
              <w:right w:type="dxa" w:w="120"/>
            </w:tcMar>
          </w:tcPr>
          <w:p>
            <w:pPr>
              <w:spacing w:after="0" w:line="264"/>
            </w:pPr>
            <w:r>
              <w:rPr>
                <w:color w:val="C00000"/>
                <w:sz w:val="17"/>
                <w:szCs w:val="17"/>
              </w:rPr>
              <w:t xml:space="preserve">Back-to-back availability warranty with response times, spares, remote diagnostics and OEM-caused LD indemnity.</w:t>
            </w:r>
          </w:p>
        </w:tc>
      </w:tr>
      <w:tr>
        <w:tc>
          <w:tcPr>
            <w:tcW w:type="dxa" w:w="1806"/>
            <w:shd w:fill="FFFFFF" w:color="auto" w:val="clear"/>
            <w:tcMar>
              <w:top w:type="dxa" w:w="90"/>
              <w:left w:type="dxa" w:w="120"/>
              <w:bottom w:type="dxa" w:w="90"/>
              <w:right w:type="dxa" w:w="120"/>
            </w:tcMar>
          </w:tcPr>
          <w:p>
            <w:pPr>
              <w:spacing w:after="0" w:line="264"/>
            </w:pPr>
            <w:r>
              <w:rPr>
                <w:color w:val="1A1A1A"/>
                <w:sz w:val="17"/>
                <w:szCs w:val="17"/>
              </w:rPr>
              <w:t xml:space="preserve">RTE liquidated damages at 150 % of the peak-time 33 kV GP tariff on excess losses, assessed monthly with no reconciliation</w:t>
            </w:r>
          </w:p>
        </w:tc>
        <w:tc>
          <w:tcPr>
            <w:tcW w:type="dxa" w:w="2889"/>
            <w:shd w:fill="FFFFFF" w:color="auto" w:val="clear"/>
            <w:tcMar>
              <w:top w:type="dxa" w:w="90"/>
              <w:left w:type="dxa" w:w="120"/>
              <w:bottom w:type="dxa" w:w="90"/>
              <w:right w:type="dxa" w:w="120"/>
            </w:tcMar>
          </w:tcPr>
          <w:p>
            <w:pPr>
              <w:spacing w:after="0" w:line="264"/>
            </w:pPr>
            <w:r>
              <w:rPr>
                <w:color w:val="1A1A1A"/>
                <w:sz w:val="17"/>
                <w:szCs w:val="17"/>
              </w:rPr>
              <w:t xml:space="preserve">Volume I §2.8(iii); clarifications 5 and 40</w:t>
            </w:r>
          </w:p>
        </w:tc>
        <w:tc>
          <w:tcPr>
            <w:tcW w:type="dxa" w:w="4333"/>
            <w:shd w:fill="FFFFFF" w:color="auto" w:val="clear"/>
            <w:tcMar>
              <w:top w:type="dxa" w:w="90"/>
              <w:left w:type="dxa" w:w="120"/>
              <w:bottom w:type="dxa" w:w="90"/>
              <w:right w:type="dxa" w:w="120"/>
            </w:tcMar>
          </w:tcPr>
          <w:p>
            <w:pPr>
              <w:spacing w:after="0" w:line="264"/>
            </w:pPr>
            <w:r>
              <w:rPr>
                <w:color w:val="C00000"/>
                <w:sz w:val="17"/>
                <w:szCs w:val="17"/>
              </w:rPr>
              <w:t xml:space="preserve">RTE guarantee at the contractual meter, correction plan, test protocol and back-to-back loss compensation. No measurement tolerance is available.</w:t>
            </w:r>
          </w:p>
        </w:tc>
      </w:tr>
      <w:tr>
        <w:tc>
          <w:tcPr>
            <w:tcW w:type="dxa" w:w="1806"/>
            <w:shd w:fill="F2F5F7" w:color="auto" w:val="clear"/>
            <w:tcMar>
              <w:top w:type="dxa" w:w="90"/>
              <w:left w:type="dxa" w:w="120"/>
              <w:bottom w:type="dxa" w:w="90"/>
              <w:right w:type="dxa" w:w="120"/>
            </w:tcMar>
          </w:tcPr>
          <w:p>
            <w:pPr>
              <w:spacing w:after="0" w:line="264"/>
            </w:pPr>
            <w:r>
              <w:rPr>
                <w:color w:val="1A1A1A"/>
                <w:sz w:val="17"/>
                <w:szCs w:val="17"/>
              </w:rPr>
              <w:t xml:space="preserve">No termination compensation or buy-out for NSO default, political force majeure or prolonged natural force majeure</w:t>
            </w:r>
          </w:p>
        </w:tc>
        <w:tc>
          <w:tcPr>
            <w:tcW w:type="dxa" w:w="2889"/>
            <w:shd w:fill="F2F5F7" w:color="auto" w:val="clear"/>
            <w:tcMar>
              <w:top w:type="dxa" w:w="90"/>
              <w:left w:type="dxa" w:w="120"/>
              <w:bottom w:type="dxa" w:w="90"/>
              <w:right w:type="dxa" w:w="120"/>
            </w:tcMar>
          </w:tcPr>
          <w:p>
            <w:pPr>
              <w:spacing w:after="0" w:line="264"/>
            </w:pPr>
            <w:r>
              <w:rPr>
                <w:color w:val="1A1A1A"/>
                <w:sz w:val="17"/>
                <w:szCs w:val="17"/>
              </w:rPr>
              <w:t xml:space="preserve">Clarification 52</w:t>
            </w:r>
          </w:p>
        </w:tc>
        <w:tc>
          <w:tcPr>
            <w:tcW w:type="dxa" w:w="4333"/>
            <w:shd w:fill="F2F5F7" w:color="auto" w:val="clear"/>
            <w:tcMar>
              <w:top w:type="dxa" w:w="90"/>
              <w:left w:type="dxa" w:w="120"/>
              <w:bottom w:type="dxa" w:w="90"/>
              <w:right w:type="dxa" w:w="120"/>
            </w:tcMar>
          </w:tcPr>
          <w:p>
            <w:pPr>
              <w:spacing w:after="0" w:line="264"/>
            </w:pPr>
            <w:r>
              <w:rPr>
                <w:color w:val="C00000"/>
                <w:sz w:val="17"/>
                <w:szCs w:val="17"/>
              </w:rPr>
              <w:t xml:space="preserve">Envision to confirm supply and warranty continuity terms that survive a termination in which the Project Company recovers nothing.</w:t>
            </w:r>
          </w:p>
        </w:tc>
      </w:tr>
      <w:tr>
        <w:tc>
          <w:tcPr>
            <w:tcW w:type="dxa" w:w="1806"/>
            <w:shd w:fill="FFFFFF" w:color="auto" w:val="clear"/>
            <w:tcMar>
              <w:top w:type="dxa" w:w="90"/>
              <w:left w:type="dxa" w:w="120"/>
              <w:bottom w:type="dxa" w:w="90"/>
              <w:right w:type="dxa" w:w="120"/>
            </w:tcMar>
          </w:tcPr>
          <w:p>
            <w:pPr>
              <w:spacing w:after="0" w:line="264"/>
            </w:pPr>
            <w:r>
              <w:rPr>
                <w:color w:val="1A1A1A"/>
                <w:sz w:val="17"/>
                <w:szCs w:val="17"/>
              </w:rPr>
              <w:t xml:space="preserve">Flat LKR capacity charge for 15 years with a single 85 % USD adjustment at ESA signing; P2 fixed and not moved to LC settlement</w:t>
            </w:r>
          </w:p>
        </w:tc>
        <w:tc>
          <w:tcPr>
            <w:tcW w:type="dxa" w:w="2889"/>
            <w:shd w:fill="FFFFFF" w:color="auto" w:val="clear"/>
            <w:tcMar>
              <w:top w:type="dxa" w:w="90"/>
              <w:left w:type="dxa" w:w="120"/>
              <w:bottom w:type="dxa" w:w="90"/>
              <w:right w:type="dxa" w:w="120"/>
            </w:tcMar>
          </w:tcPr>
          <w:p>
            <w:pPr>
              <w:spacing w:after="0" w:line="264"/>
            </w:pPr>
            <w:r>
              <w:rPr>
                <w:color w:val="1A1A1A"/>
                <w:sz w:val="17"/>
                <w:szCs w:val="17"/>
              </w:rPr>
              <w:t xml:space="preserve">Clarification 16</w:t>
            </w:r>
          </w:p>
        </w:tc>
        <w:tc>
          <w:tcPr>
            <w:tcW w:type="dxa" w:w="4333"/>
            <w:shd w:fill="FFFFFF" w:color="auto" w:val="clear"/>
            <w:tcMar>
              <w:top w:type="dxa" w:w="90"/>
              <w:left w:type="dxa" w:w="120"/>
              <w:bottom w:type="dxa" w:w="90"/>
              <w:right w:type="dxa" w:w="120"/>
            </w:tcMar>
          </w:tcPr>
          <w:p>
            <w:pPr>
              <w:spacing w:after="0" w:line="264"/>
            </w:pPr>
            <w:r>
              <w:rPr>
                <w:color w:val="C00000"/>
                <w:sz w:val="17"/>
                <w:szCs w:val="17"/>
              </w:rPr>
              <w:t xml:space="preserve">Price validity through award and ESA signature, defined FX basis, capped LTSA and spares escalation, transparent local/foreign split.</w:t>
            </w:r>
          </w:p>
        </w:tc>
      </w:tr>
      <w:tr>
        <w:tc>
          <w:tcPr>
            <w:tcW w:type="dxa" w:w="1806"/>
            <w:shd w:fill="F2F5F7" w:color="auto" w:val="clear"/>
            <w:tcMar>
              <w:top w:type="dxa" w:w="90"/>
              <w:left w:type="dxa" w:w="120"/>
              <w:bottom w:type="dxa" w:w="90"/>
              <w:right w:type="dxa" w:w="120"/>
            </w:tcMar>
          </w:tcPr>
          <w:p>
            <w:pPr>
              <w:spacing w:after="0" w:line="264"/>
            </w:pPr>
            <w:r>
              <w:rPr>
                <w:color w:val="1A1A1A"/>
                <w:sz w:val="17"/>
                <w:szCs w:val="17"/>
              </w:rPr>
              <w:t xml:space="preserve">No CCR adjustment or penalty-free withdrawal for tax or regulatory change after the Closing Date</w:t>
            </w:r>
          </w:p>
        </w:tc>
        <w:tc>
          <w:tcPr>
            <w:tcW w:type="dxa" w:w="2889"/>
            <w:shd w:fill="F2F5F7" w:color="auto" w:val="clear"/>
            <w:tcMar>
              <w:top w:type="dxa" w:w="90"/>
              <w:left w:type="dxa" w:w="120"/>
              <w:bottom w:type="dxa" w:w="90"/>
              <w:right w:type="dxa" w:w="120"/>
            </w:tcMar>
          </w:tcPr>
          <w:p>
            <w:pPr>
              <w:spacing w:after="0" w:line="264"/>
            </w:pPr>
            <w:r>
              <w:rPr>
                <w:color w:val="1A1A1A"/>
                <w:sz w:val="17"/>
                <w:szCs w:val="17"/>
              </w:rPr>
              <w:t xml:space="preserve">Clarification 19</w:t>
            </w:r>
          </w:p>
        </w:tc>
        <w:tc>
          <w:tcPr>
            <w:tcW w:type="dxa" w:w="4333"/>
            <w:shd w:fill="F2F5F7" w:color="auto" w:val="clear"/>
            <w:tcMar>
              <w:top w:type="dxa" w:w="90"/>
              <w:left w:type="dxa" w:w="120"/>
              <w:bottom w:type="dxa" w:w="90"/>
              <w:right w:type="dxa" w:w="120"/>
            </w:tcMar>
          </w:tcPr>
          <w:p>
            <w:pPr>
              <w:spacing w:after="0" w:line="264"/>
            </w:pPr>
            <w:r>
              <w:rPr>
                <w:color w:val="C00000"/>
                <w:sz w:val="17"/>
                <w:szCs w:val="17"/>
              </w:rPr>
              <w:t xml:space="preserve">Envision to hold pricing on that basis or state the assumptions it is conditioned on.</w:t>
            </w:r>
          </w:p>
        </w:tc>
      </w:tr>
      <w:tr>
        <w:tc>
          <w:tcPr>
            <w:tcW w:type="dxa" w:w="1806"/>
            <w:shd w:fill="FFFFFF" w:color="auto" w:val="clear"/>
            <w:tcMar>
              <w:top w:type="dxa" w:w="90"/>
              <w:left w:type="dxa" w:w="120"/>
              <w:bottom w:type="dxa" w:w="90"/>
              <w:right w:type="dxa" w:w="120"/>
            </w:tcMar>
          </w:tcPr>
          <w:p>
            <w:pPr>
              <w:spacing w:after="0" w:line="264"/>
            </w:pPr>
            <w:r>
              <w:rPr>
                <w:color w:val="1A1A1A"/>
                <w:sz w:val="17"/>
                <w:szCs w:val="17"/>
              </w:rPr>
              <w:t xml:space="preserve">Supplier substitution after award refused</w:t>
            </w:r>
          </w:p>
        </w:tc>
        <w:tc>
          <w:tcPr>
            <w:tcW w:type="dxa" w:w="2889"/>
            <w:shd w:fill="FFFFFF" w:color="auto" w:val="clear"/>
            <w:tcMar>
              <w:top w:type="dxa" w:w="90"/>
              <w:left w:type="dxa" w:w="120"/>
              <w:bottom w:type="dxa" w:w="90"/>
              <w:right w:type="dxa" w:w="120"/>
            </w:tcMar>
          </w:tcPr>
          <w:p>
            <w:pPr>
              <w:spacing w:after="0" w:line="264"/>
            </w:pPr>
            <w:r>
              <w:rPr>
                <w:color w:val="1A1A1A"/>
                <w:sz w:val="17"/>
                <w:szCs w:val="17"/>
              </w:rPr>
              <w:t xml:space="preserve">Clarification 73(b)</w:t>
            </w:r>
          </w:p>
        </w:tc>
        <w:tc>
          <w:tcPr>
            <w:tcW w:type="dxa" w:w="4333"/>
            <w:shd w:fill="FFFFFF" w:color="auto" w:val="clear"/>
            <w:tcMar>
              <w:top w:type="dxa" w:w="90"/>
              <w:left w:type="dxa" w:w="120"/>
              <w:bottom w:type="dxa" w:w="90"/>
              <w:right w:type="dxa" w:w="120"/>
            </w:tcMar>
          </w:tcPr>
          <w:p>
            <w:pPr>
              <w:spacing w:after="0" w:line="264"/>
            </w:pPr>
            <w:r>
              <w:rPr>
                <w:color w:val="C00000"/>
                <w:sz w:val="17"/>
                <w:szCs w:val="17"/>
              </w:rPr>
              <w:t xml:space="preserve">Envision to confirm supply-chain security for the exact nominated equipment for the full delivery window.</w:t>
            </w:r>
          </w:p>
        </w:tc>
      </w:tr>
    </w:tbl>
    <w:p>
      <w:pPr>
        <w:spacing w:after="120" w:line="276"/>
      </w:pPr>
      <w:r>
        <w:rPr>
          <w:i/>
          <w:iCs/>
          <w:color w:val="5A6472"/>
          <w:sz w:val="16"/>
          <w:szCs w:val="16"/>
        </w:rPr>
        <w:t xml:space="preserve">Source: NSO RFP Volumes I and III; clarification register items 5, 16, 19, 30, 40, 52, 54, 73.</w:t>
      </w:r>
    </w:p>
    <w:p>
      <w:pPr>
        <w:pStyle w:val="Heading1"/>
        <w:spacing w:after="140" w:before="320"/>
      </w:pPr>
      <w:r>
        <w:rPr>
          <w:b/>
          <w:bCs/>
          <w:color w:val="123B5D"/>
          <w:sz w:val="26"/>
          <w:szCs w:val="26"/>
        </w:rPr>
        <w:t xml:space="preserve">15. Bidder-side actions - not Envision's scope</w:t>
      </w:r>
    </w:p>
    <w:tbl>
      <w:tblPr>
        <w:tblW w:type="dxa" w:w="9028"/>
        <w:tblBorders>
          <w:top w:val="none" w:color="auto" w:sz="0"/>
          <w:left w:val="single" w:color="123B5D" w:sz="18"/>
          <w:bottom w:val="none" w:color="auto" w:sz="0"/>
          <w:right w:val="none" w:color="auto" w:sz="0"/>
          <w:insideH w:val="none" w:color="auto" w:sz="0"/>
          <w:insideV w:val="none" w:color="auto" w:sz="0"/>
        </w:tblBorders>
      </w:tblPr>
      <w:tblGrid>
        <w:gridCol w:w="9028"/>
      </w:tblGrid>
      <w:tr>
        <w:tc>
          <w:tcPr>
            <w:tcW w:type="dxa" w:w="9028"/>
            <w:shd w:fill="F2F5F7" w:color="auto" w:val="clear"/>
            <w:tcMar>
              <w:top w:type="dxa" w:w="140"/>
              <w:left w:type="dxa" w:w="180"/>
              <w:bottom w:type="dxa" w:w="140"/>
              <w:right w:type="dxa" w:w="180"/>
            </w:tcMar>
          </w:tcPr>
          <w:p>
            <w:pPr>
              <w:spacing w:after="0" w:line="264"/>
            </w:pPr>
            <w:r>
              <w:rPr>
                <w:b/>
                <w:bCs/>
                <w:color w:val="1A1A1A"/>
                <w:sz w:val="18"/>
                <w:szCs w:val="18"/>
              </w:rPr>
              <w:t xml:space="preserve">BLACK = sourced from a received document | RED = drafted gap-fill, unverified, for Envision to confirm or replace</w:t>
            </w:r>
          </w:p>
        </w:tc>
      </w:tr>
    </w:tbl>
    <w:p>
      <w:pPr>
        <w:spacing w:after="120" w:line="276"/>
      </w:pPr>
      <w:r>
        <w:t xml:space="preserve"/>
      </w:r>
    </w:p>
    <w:p>
      <w:pPr>
        <w:spacing w:after="120" w:line="276"/>
      </w:pPr>
      <w:r>
        <w:rPr>
          <w:color w:val="1A1A1A"/>
          <w:sz w:val="19"/>
          <w:szCs w:val="19"/>
        </w:rPr>
        <w:t xml:space="preserve">Recorded here so nothing is lost between the two workstreams. These are the Project Proponent's, not Envision's.</w:t>
      </w:r>
    </w:p>
    <w:p>
      <w:pPr>
        <w:pStyle w:val="ListParagraph"/>
        <w:numPr>
          <w:ilvl w:val="0"/>
          <w:numId w:val="2"/>
        </w:numPr>
        <w:spacing w:after="140" w:line="276"/>
      </w:pPr>
      <w:r>
        <w:rPr>
          <w:color w:val="C00000"/>
          <w:sz w:val="19"/>
          <w:szCs w:val="19"/>
        </w:rPr>
        <w:t xml:space="preserve">GRID INTERCONNECTION CONFIRMATION LETTER - most urgent. Addendum No. 01 items 02 and 08 make it mandatory where Option 2 is selected under Volume II Section 11, and a MAJOR DEVIATION under Volume I clause 6.3.1 if absent. Item 07 required it to be requested from the Provincial Director of EDL at least 21 days before closing - i.e. by 14 August 2026 - and EDL is not liable for delays. Confirm immediately which Option is taken and whether the letter was requested.</w:t>
      </w:r>
    </w:p>
    <w:p>
      <w:pPr>
        <w:pStyle w:val="ListParagraph"/>
        <w:numPr>
          <w:ilvl w:val="0"/>
          <w:numId w:val="2"/>
        </w:numPr>
        <w:spacing w:after="140" w:line="276"/>
      </w:pPr>
      <w:r>
        <w:rPr>
          <w:color w:val="C00000"/>
          <w:sz w:val="19"/>
          <w:szCs w:val="19"/>
        </w:rPr>
        <w:t xml:space="preserve">PCA3 registration. Addendum No. 01 item 10 adds failure to submit the Certification of Registration under the Public Contract Act No. 3 of 1987 to the grounds for disqualification.</w:t>
      </w:r>
    </w:p>
    <w:p>
      <w:pPr>
        <w:pStyle w:val="ListParagraph"/>
        <w:numPr>
          <w:ilvl w:val="0"/>
          <w:numId w:val="2"/>
        </w:numPr>
        <w:spacing w:after="140" w:line="276"/>
      </w:pPr>
      <w:r>
        <w:rPr>
          <w:color w:val="C00000"/>
          <w:sz w:val="19"/>
          <w:szCs w:val="19"/>
        </w:rPr>
        <w:t xml:space="preserve">Submission arithmetic. A separate RFP purchase per proposal (clarification 46); each proposal a complete and separate submission (clarification 70); LKR 600 million financial resources per project, cumulative - LKR 1,200 million for two (clarification 69); Proposal Security addressed to the CEO of NSO (clarification 41) and valid to 3 March 2027 (Addendum item 03).</w:t>
      </w:r>
    </w:p>
    <w:p>
      <w:pPr>
        <w:pStyle w:val="ListParagraph"/>
        <w:numPr>
          <w:ilvl w:val="0"/>
          <w:numId w:val="2"/>
        </w:numPr>
        <w:spacing w:after="140" w:line="276"/>
      </w:pPr>
      <w:r>
        <w:rPr>
          <w:color w:val="C00000"/>
          <w:sz w:val="19"/>
          <w:szCs w:val="19"/>
        </w:rPr>
        <w:t xml:space="preserve">Joint-venture structure. Clarification 60: any technical or manufacturing partner that is a FORMAL JV member must meet 25 % of the LKR 600 million regardless of its role. To avoid that, it must be structured as a manufacturer, supplier, technical partner or subcontractor, not a JV member. FIN-1 to FIN-4 are completed by each formal member.</w:t>
      </w:r>
    </w:p>
    <w:p>
      <w:pPr>
        <w:pStyle w:val="ListParagraph"/>
        <w:numPr>
          <w:ilvl w:val="0"/>
          <w:numId w:val="2"/>
        </w:numPr>
        <w:spacing w:after="140" w:line="276"/>
      </w:pPr>
      <w:r>
        <w:rPr>
          <w:color w:val="C00000"/>
          <w:sz w:val="19"/>
          <w:szCs w:val="19"/>
        </w:rPr>
        <w:t xml:space="preserve">Shared interconnection. Clarifications 20 and 75 contradict each other - 20 permits a common grid interconnection line for two projects at one GSS, 75 says only one BESS project can connect to a single 33 kV feeder. The window to ask closed on 25 August. Cost any two-project bid on the conservative reading (separate feeders) and state the assumption in the bid.</w:t>
      </w:r>
    </w:p>
    <w:p>
      <w:pPr>
        <w:pStyle w:val="ListParagraph"/>
        <w:numPr>
          <w:ilvl w:val="0"/>
          <w:numId w:val="2"/>
        </w:numPr>
        <w:spacing w:after="140" w:line="276"/>
      </w:pPr>
      <w:r>
        <w:rPr>
          <w:color w:val="C00000"/>
          <w:sz w:val="19"/>
          <w:szCs w:val="19"/>
        </w:rPr>
        <w:t xml:space="preserve">Capacity Charge Rate unit. Clarification 65 answers 'LKR/MW/month' and states the proposed rate as Y LKR/MW/month, then writes the applicable-rate formula 0.15xY + (0.85xYxP2/P1) in LKR/MWh/month - a different unit in the same answer. Quote in LKR/MW/month and complete the SSCL and VAT-18 % rows added by Addendum item 13.</w:t>
      </w:r>
    </w:p>
    <w:p>
      <w:pPr>
        <w:pStyle w:val="ListParagraph"/>
        <w:numPr>
          <w:ilvl w:val="0"/>
          <w:numId w:val="2"/>
        </w:numPr>
        <w:spacing w:after="140" w:line="276"/>
      </w:pPr>
      <w:r>
        <w:rPr>
          <w:color w:val="C00000"/>
          <w:sz w:val="19"/>
          <w:szCs w:val="19"/>
        </w:rPr>
        <w:t xml:space="preserve">Tracking workbook. Correct the Summary COUNTIF range from F2:F65 to F2:F69 (it reports 38 Received against a true 41), restore missing items 50-53, set statuses for items 55-57, and update item 36 against item 61.</w:t>
      </w:r>
    </w:p>
    <w:p>
      <w:pPr>
        <w:pStyle w:val="Heading1"/>
        <w:spacing w:after="140" w:before="320"/>
      </w:pPr>
      <w:r>
        <w:rPr>
          <w:b/>
          <w:bCs/>
          <w:color w:val="123B5D"/>
          <w:sz w:val="26"/>
          <w:szCs w:val="26"/>
        </w:rPr>
        <w:t xml:space="preserve">16. Basis of statement - what is sourced and what is drafted</w:t>
      </w:r>
    </w:p>
    <w:tbl>
      <w:tblPr>
        <w:tblW w:type="dxa" w:w="9028"/>
        <w:tblBorders>
          <w:top w:val="none" w:color="auto" w:sz="0"/>
          <w:left w:val="single" w:color="123B5D" w:sz="18"/>
          <w:bottom w:val="none" w:color="auto" w:sz="0"/>
          <w:right w:val="none" w:color="auto" w:sz="0"/>
          <w:insideH w:val="none" w:color="auto" w:sz="0"/>
          <w:insideV w:val="none" w:color="auto" w:sz="0"/>
        </w:tblBorders>
      </w:tblPr>
      <w:tblGrid>
        <w:gridCol w:w="9028"/>
      </w:tblGrid>
      <w:tr>
        <w:tc>
          <w:tcPr>
            <w:tcW w:type="dxa" w:w="9028"/>
            <w:shd w:fill="F2F5F7" w:color="auto" w:val="clear"/>
            <w:tcMar>
              <w:top w:type="dxa" w:w="140"/>
              <w:left w:type="dxa" w:w="180"/>
              <w:bottom w:type="dxa" w:w="140"/>
              <w:right w:type="dxa" w:w="180"/>
            </w:tcMar>
          </w:tcPr>
          <w:p>
            <w:pPr>
              <w:spacing w:after="0" w:line="264"/>
            </w:pPr>
            <w:r>
              <w:rPr>
                <w:b/>
                <w:bCs/>
                <w:color w:val="1A1A1A"/>
                <w:sz w:val="18"/>
                <w:szCs w:val="18"/>
              </w:rPr>
              <w:t xml:space="preserve">BLACK = sourced from a received document | RED = drafted gap-fill, unverified, for Envision to confirm or replace</w:t>
            </w:r>
          </w:p>
        </w:tc>
      </w:tr>
    </w:tbl>
    <w:p>
      <w:pPr>
        <w:spacing w:after="120" w:line="276"/>
      </w:pPr>
      <w:r>
        <w:t xml:space="preserve"/>
      </w:r>
    </w:p>
    <w:p>
      <w:pPr>
        <w:spacing w:after="120" w:line="276"/>
      </w:pPr>
      <w:r>
        <w:rPr>
          <w:color w:val="1A1A1A"/>
          <w:sz w:val="19"/>
          <w:szCs w:val="19"/>
        </w:rPr>
        <w:t xml:space="preserve">This section exists so that no reader has to infer the status of any statement in this draft from its tone.</w:t>
      </w:r>
    </w:p>
    <w:tbl>
      <w:tblPr>
        <w:tblW w:type="dxa" w:w="9028"/>
        <w:tblBorders>
          <w:top w:val="single" w:color="C9D2DA" w:sz="6"/>
          <w:left w:val="none" w:color="auto" w:sz="0"/>
          <w:bottom w:val="single" w:color="C9D2DA" w:sz="6"/>
          <w:right w:val="none" w:color="auto" w:sz="0"/>
          <w:insideH w:val="single" w:color="C9D2DA" w:sz="4"/>
          <w:insideV w:val="none" w:color="auto" w:sz="0"/>
        </w:tblBorders>
      </w:tblPr>
      <w:tblGrid>
        <w:gridCol w:w="1806"/>
        <w:gridCol w:w="2889"/>
        <w:gridCol w:w="4333"/>
      </w:tblGrid>
      <w:tr>
        <w:trPr>
          <w:tblHeader/>
        </w:trPr>
        <w:tc>
          <w:tcPr>
            <w:tcW w:type="dxa" w:w="1806"/>
            <w:shd w:fill="123B5D" w:color="auto" w:val="clear"/>
            <w:tcMar>
              <w:top w:type="dxa" w:w="90"/>
              <w:left w:type="dxa" w:w="120"/>
              <w:bottom w:type="dxa" w:w="90"/>
              <w:right w:type="dxa" w:w="120"/>
            </w:tcMar>
          </w:tcPr>
          <w:p>
            <w:pPr>
              <w:spacing w:after="0"/>
            </w:pPr>
            <w:r>
              <w:rPr>
                <w:b/>
                <w:bCs/>
                <w:color w:val="FFFFFF"/>
                <w:sz w:val="17"/>
                <w:szCs w:val="17"/>
              </w:rPr>
              <w:t xml:space="preserve">Colour</w:t>
            </w:r>
          </w:p>
        </w:tc>
        <w:tc>
          <w:tcPr>
            <w:tcW w:type="dxa" w:w="2889"/>
            <w:shd w:fill="123B5D" w:color="auto" w:val="clear"/>
            <w:tcMar>
              <w:top w:type="dxa" w:w="90"/>
              <w:left w:type="dxa" w:w="120"/>
              <w:bottom w:type="dxa" w:w="90"/>
              <w:right w:type="dxa" w:w="120"/>
            </w:tcMar>
          </w:tcPr>
          <w:p>
            <w:pPr>
              <w:spacing w:after="0"/>
            </w:pPr>
            <w:r>
              <w:rPr>
                <w:b/>
                <w:bCs/>
                <w:color w:val="FFFFFF"/>
                <w:sz w:val="17"/>
                <w:szCs w:val="17"/>
              </w:rPr>
              <w:t xml:space="preserve">Meaning</w:t>
            </w:r>
          </w:p>
        </w:tc>
        <w:tc>
          <w:tcPr>
            <w:tcW w:type="dxa" w:w="4333"/>
            <w:shd w:fill="123B5D" w:color="auto" w:val="clear"/>
            <w:tcMar>
              <w:top w:type="dxa" w:w="90"/>
              <w:left w:type="dxa" w:w="120"/>
              <w:bottom w:type="dxa" w:w="90"/>
              <w:right w:type="dxa" w:w="120"/>
            </w:tcMar>
          </w:tcPr>
          <w:p>
            <w:pPr>
              <w:spacing w:after="0"/>
            </w:pPr>
            <w:r>
              <w:rPr>
                <w:b/>
                <w:bCs/>
                <w:color w:val="FFFFFF"/>
                <w:sz w:val="17"/>
                <w:szCs w:val="17"/>
              </w:rPr>
              <w:t xml:space="preserve">How it may be used</w:t>
            </w:r>
          </w:p>
        </w:tc>
      </w:tr>
      <w:tr>
        <w:tc>
          <w:tcPr>
            <w:tcW w:type="dxa" w:w="1806"/>
            <w:shd w:fill="FFFFFF" w:color="auto" w:val="clear"/>
            <w:tcMar>
              <w:top w:type="dxa" w:w="90"/>
              <w:left w:type="dxa" w:w="120"/>
              <w:bottom w:type="dxa" w:w="90"/>
              <w:right w:type="dxa" w:w="120"/>
            </w:tcMar>
          </w:tcPr>
          <w:p>
            <w:pPr>
              <w:spacing w:after="0" w:line="264"/>
            </w:pPr>
            <w:r>
              <w:rPr>
                <w:color w:val="1A1A1A"/>
                <w:sz w:val="17"/>
                <w:szCs w:val="17"/>
              </w:rPr>
              <w:t xml:space="preserve">Black</w:t>
            </w:r>
          </w:p>
        </w:tc>
        <w:tc>
          <w:tcPr>
            <w:tcW w:type="dxa" w:w="2889"/>
            <w:shd w:fill="FFFFFF" w:color="auto" w:val="clear"/>
            <w:tcMar>
              <w:top w:type="dxa" w:w="90"/>
              <w:left w:type="dxa" w:w="120"/>
              <w:bottom w:type="dxa" w:w="90"/>
              <w:right w:type="dxa" w:w="120"/>
            </w:tcMar>
          </w:tcPr>
          <w:p>
            <w:pPr>
              <w:spacing w:after="0" w:line="264"/>
            </w:pPr>
            <w:r>
              <w:rPr>
                <w:color w:val="1A1A1A"/>
                <w:sz w:val="17"/>
                <w:szCs w:val="17"/>
              </w:rPr>
              <w:t xml:space="preserve">Sourced. Traceable to a document held in the corpus with its SHA-256 recorded in MANIFEST.sha256 - an NSO tender volume, Addendum No. 01, Annex A, the clarification register, an Envision design calculation, the filled Volume 2 GTP, or the 21 August evidence dossier.</w:t>
            </w:r>
          </w:p>
        </w:tc>
        <w:tc>
          <w:tcPr>
            <w:tcW w:type="dxa" w:w="4333"/>
            <w:shd w:fill="FFFFFF" w:color="auto" w:val="clear"/>
            <w:tcMar>
              <w:top w:type="dxa" w:w="90"/>
              <w:left w:type="dxa" w:w="120"/>
              <w:bottom w:type="dxa" w:w="90"/>
              <w:right w:type="dxa" w:w="120"/>
            </w:tcMar>
          </w:tcPr>
          <w:p>
            <w:pPr>
              <w:spacing w:after="0" w:line="264"/>
            </w:pPr>
            <w:r>
              <w:rPr>
                <w:color w:val="1A1A1A"/>
                <w:sz w:val="17"/>
                <w:szCs w:val="17"/>
              </w:rPr>
              <w:t xml:space="preserve">May be relied upon subject to the source-governs caveat on every page.</w:t>
            </w:r>
          </w:p>
        </w:tc>
      </w:tr>
      <w:tr>
        <w:tc>
          <w:tcPr>
            <w:tcW w:type="dxa" w:w="1806"/>
            <w:shd w:fill="FBEFEF" w:color="auto" w:val="clear"/>
            <w:tcMar>
              <w:top w:type="dxa" w:w="90"/>
              <w:left w:type="dxa" w:w="120"/>
              <w:bottom w:type="dxa" w:w="90"/>
              <w:right w:type="dxa" w:w="120"/>
            </w:tcMar>
          </w:tcPr>
          <w:p>
            <w:pPr>
              <w:spacing w:after="0" w:line="264"/>
            </w:pPr>
            <w:r>
              <w:rPr>
                <w:color w:val="C00000"/>
                <w:sz w:val="17"/>
                <w:szCs w:val="17"/>
              </w:rPr>
              <w:t xml:space="preserve">Red</w:t>
            </w:r>
          </w:p>
        </w:tc>
        <w:tc>
          <w:tcPr>
            <w:tcW w:type="dxa" w:w="2889"/>
            <w:shd w:fill="FBEFEF" w:color="auto" w:val="clear"/>
            <w:tcMar>
              <w:top w:type="dxa" w:w="90"/>
              <w:left w:type="dxa" w:w="120"/>
              <w:bottom w:type="dxa" w:w="90"/>
              <w:right w:type="dxa" w:w="120"/>
            </w:tcMar>
          </w:tcPr>
          <w:p>
            <w:pPr>
              <w:spacing w:after="0" w:line="264"/>
            </w:pPr>
            <w:r>
              <w:rPr>
                <w:color w:val="C00000"/>
                <w:sz w:val="17"/>
                <w:szCs w:val="17"/>
              </w:rPr>
              <w:t xml:space="preserve">DRAFTED GAP-FILL. Not found in any received Envision document. Written the way the tender requires it to read, so Envision can confirm, correct or replace it.</w:t>
            </w:r>
          </w:p>
        </w:tc>
        <w:tc>
          <w:tcPr>
            <w:tcW w:type="dxa" w:w="4333"/>
            <w:shd w:fill="FBEFEF" w:color="auto" w:val="clear"/>
            <w:tcMar>
              <w:top w:type="dxa" w:w="90"/>
              <w:left w:type="dxa" w:w="120"/>
              <w:bottom w:type="dxa" w:w="90"/>
              <w:right w:type="dxa" w:w="120"/>
            </w:tcMar>
          </w:tcPr>
          <w:p>
            <w:pPr>
              <w:spacing w:after="0" w:line="264"/>
            </w:pPr>
            <w:r>
              <w:rPr>
                <w:color w:val="C00000"/>
                <w:sz w:val="17"/>
                <w:szCs w:val="17"/>
              </w:rPr>
              <w:t xml:space="preserve">MUST NOT be submitted, quoted to NSO, or relied upon until Envision has adopted it in writing. Red values are drafting placeholders that reflect what the tender demands - they are NOT representations about the offered product and were not supplied by Envision.</w:t>
            </w:r>
          </w:p>
        </w:tc>
      </w:tr>
    </w:tbl>
    <w:p>
      <w:pPr>
        <w:pStyle w:val="Heading1"/>
        <w:spacing w:after="140" w:before="320"/>
      </w:pPr>
      <w:r>
        <w:rPr>
          <w:b/>
          <w:bCs/>
          <w:color w:val="123B5D"/>
          <w:sz w:val="26"/>
          <w:szCs w:val="26"/>
        </w:rPr>
        <w:t xml:space="preserve">17. Source register</w:t>
      </w:r>
    </w:p>
    <w:tbl>
      <w:tblPr>
        <w:tblW w:type="dxa" w:w="9028"/>
        <w:tblBorders>
          <w:top w:val="none" w:color="auto" w:sz="0"/>
          <w:left w:val="single" w:color="123B5D" w:sz="18"/>
          <w:bottom w:val="none" w:color="auto" w:sz="0"/>
          <w:right w:val="none" w:color="auto" w:sz="0"/>
          <w:insideH w:val="none" w:color="auto" w:sz="0"/>
          <w:insideV w:val="none" w:color="auto" w:sz="0"/>
        </w:tblBorders>
      </w:tblPr>
      <w:tblGrid>
        <w:gridCol w:w="9028"/>
      </w:tblGrid>
      <w:tr>
        <w:tc>
          <w:tcPr>
            <w:tcW w:type="dxa" w:w="9028"/>
            <w:shd w:fill="F2F5F7" w:color="auto" w:val="clear"/>
            <w:tcMar>
              <w:top w:type="dxa" w:w="140"/>
              <w:left w:type="dxa" w:w="180"/>
              <w:bottom w:type="dxa" w:w="140"/>
              <w:right w:type="dxa" w:w="180"/>
            </w:tcMar>
          </w:tcPr>
          <w:p>
            <w:pPr>
              <w:spacing w:after="0" w:line="264"/>
            </w:pPr>
            <w:r>
              <w:rPr>
                <w:b/>
                <w:bCs/>
                <w:color w:val="1A1A1A"/>
                <w:sz w:val="18"/>
                <w:szCs w:val="18"/>
              </w:rPr>
              <w:t xml:space="preserve">BLACK = sourced from a received document | RED = drafted gap-fill, unverified, for Envision to confirm or replace</w:t>
            </w:r>
          </w:p>
        </w:tc>
      </w:tr>
    </w:tbl>
    <w:p>
      <w:pPr>
        <w:spacing w:after="120" w:line="276"/>
      </w:pPr>
      <w:r>
        <w:t xml:space="preserve"/>
      </w:r>
    </w:p>
    <w:tbl>
      <w:tblPr>
        <w:tblW w:type="dxa" w:w="9028"/>
        <w:tblBorders>
          <w:top w:val="single" w:color="C9D2DA" w:sz="6"/>
          <w:left w:val="none" w:color="auto" w:sz="0"/>
          <w:bottom w:val="single" w:color="C9D2DA" w:sz="6"/>
          <w:right w:val="none" w:color="auto" w:sz="0"/>
          <w:insideH w:val="single" w:color="C9D2DA" w:sz="4"/>
          <w:insideV w:val="none" w:color="auto" w:sz="0"/>
        </w:tblBorders>
      </w:tblPr>
      <w:tblGrid>
        <w:gridCol w:w="1806"/>
        <w:gridCol w:w="2889"/>
        <w:gridCol w:w="4333"/>
      </w:tblGrid>
      <w:tr>
        <w:trPr>
          <w:tblHeader/>
        </w:trPr>
        <w:tc>
          <w:tcPr>
            <w:tcW w:type="dxa" w:w="1806"/>
            <w:shd w:fill="123B5D" w:color="auto" w:val="clear"/>
            <w:tcMar>
              <w:top w:type="dxa" w:w="90"/>
              <w:left w:type="dxa" w:w="120"/>
              <w:bottom w:type="dxa" w:w="90"/>
              <w:right w:type="dxa" w:w="120"/>
            </w:tcMar>
          </w:tcPr>
          <w:p>
            <w:pPr>
              <w:spacing w:after="0"/>
            </w:pPr>
            <w:r>
              <w:rPr>
                <w:b/>
                <w:bCs/>
                <w:color w:val="FFFFFF"/>
                <w:sz w:val="17"/>
                <w:szCs w:val="17"/>
              </w:rPr>
              <w:t xml:space="preserve">Source</w:t>
            </w:r>
          </w:p>
        </w:tc>
        <w:tc>
          <w:tcPr>
            <w:tcW w:type="dxa" w:w="2889"/>
            <w:shd w:fill="123B5D" w:color="auto" w:val="clear"/>
            <w:tcMar>
              <w:top w:type="dxa" w:w="90"/>
              <w:left w:type="dxa" w:w="120"/>
              <w:bottom w:type="dxa" w:w="90"/>
              <w:right w:type="dxa" w:w="120"/>
            </w:tcMar>
          </w:tcPr>
          <w:p>
            <w:pPr>
              <w:spacing w:after="0"/>
            </w:pPr>
            <w:r>
              <w:rPr>
                <w:b/>
                <w:bCs/>
                <w:color w:val="FFFFFF"/>
                <w:sz w:val="17"/>
                <w:szCs w:val="17"/>
              </w:rPr>
              <w:t xml:space="preserve">Role</w:t>
            </w:r>
          </w:p>
        </w:tc>
        <w:tc>
          <w:tcPr>
            <w:tcW w:type="dxa" w:w="4333"/>
            <w:shd w:fill="123B5D" w:color="auto" w:val="clear"/>
            <w:tcMar>
              <w:top w:type="dxa" w:w="90"/>
              <w:left w:type="dxa" w:w="120"/>
              <w:bottom w:type="dxa" w:w="90"/>
              <w:right w:type="dxa" w:w="120"/>
            </w:tcMar>
          </w:tcPr>
          <w:p>
            <w:pPr>
              <w:spacing w:after="0"/>
            </w:pPr>
            <w:r>
              <w:rPr>
                <w:b/>
                <w:bCs/>
                <w:color w:val="FFFFFF"/>
                <w:sz w:val="17"/>
                <w:szCs w:val="17"/>
              </w:rPr>
              <w:t xml:space="preserve">SHA-256 (first 12)</w:t>
            </w:r>
          </w:p>
        </w:tc>
      </w:tr>
      <w:tr>
        <w:tc>
          <w:tcPr>
            <w:tcW w:type="dxa" w:w="1806"/>
            <w:shd w:fill="FFFFFF" w:color="auto" w:val="clear"/>
            <w:tcMar>
              <w:top w:type="dxa" w:w="90"/>
              <w:left w:type="dxa" w:w="120"/>
              <w:bottom w:type="dxa" w:w="90"/>
              <w:right w:type="dxa" w:w="120"/>
            </w:tcMar>
          </w:tcPr>
          <w:p>
            <w:pPr>
              <w:spacing w:after="0" w:line="264"/>
            </w:pPr>
            <w:r>
              <w:rPr>
                <w:color w:val="1A1A1A"/>
                <w:sz w:val="17"/>
                <w:szCs w:val="17"/>
              </w:rPr>
              <w:t xml:space="preserve">NSO RFP Volume I</w:t>
            </w:r>
          </w:p>
        </w:tc>
        <w:tc>
          <w:tcPr>
            <w:tcW w:type="dxa" w:w="2889"/>
            <w:shd w:fill="FFFFFF" w:color="auto" w:val="clear"/>
            <w:tcMar>
              <w:top w:type="dxa" w:w="90"/>
              <w:left w:type="dxa" w:w="120"/>
              <w:bottom w:type="dxa" w:w="90"/>
              <w:right w:type="dxa" w:w="120"/>
            </w:tcMar>
          </w:tcPr>
          <w:p>
            <w:pPr>
              <w:spacing w:after="0" w:line="264"/>
            </w:pPr>
            <w:r>
              <w:rPr>
                <w:color w:val="1A1A1A"/>
                <w:sz w:val="17"/>
                <w:szCs w:val="17"/>
              </w:rPr>
              <w:t xml:space="preserve">Controlling tender volume</w:t>
            </w:r>
          </w:p>
        </w:tc>
        <w:tc>
          <w:tcPr>
            <w:tcW w:type="dxa" w:w="4333"/>
            <w:shd w:fill="FFFFFF" w:color="auto" w:val="clear"/>
            <w:tcMar>
              <w:top w:type="dxa" w:w="90"/>
              <w:left w:type="dxa" w:w="120"/>
              <w:bottom w:type="dxa" w:w="90"/>
              <w:right w:type="dxa" w:w="120"/>
            </w:tcMar>
          </w:tcPr>
          <w:p>
            <w:pPr>
              <w:spacing w:after="0" w:line="264"/>
            </w:pPr>
            <w:r>
              <w:rPr>
                <w:color w:val="1A1A1A"/>
                <w:sz w:val="17"/>
                <w:szCs w:val="17"/>
              </w:rPr>
              <w:t xml:space="preserve">fb61a4f827a0</w:t>
            </w:r>
          </w:p>
        </w:tc>
      </w:tr>
      <w:tr>
        <w:tc>
          <w:tcPr>
            <w:tcW w:type="dxa" w:w="1806"/>
            <w:shd w:fill="F2F5F7" w:color="auto" w:val="clear"/>
            <w:tcMar>
              <w:top w:type="dxa" w:w="90"/>
              <w:left w:type="dxa" w:w="120"/>
              <w:bottom w:type="dxa" w:w="90"/>
              <w:right w:type="dxa" w:w="120"/>
            </w:tcMar>
          </w:tcPr>
          <w:p>
            <w:pPr>
              <w:spacing w:after="0" w:line="264"/>
            </w:pPr>
            <w:r>
              <w:rPr>
                <w:color w:val="1A1A1A"/>
                <w:sz w:val="17"/>
                <w:szCs w:val="17"/>
              </w:rPr>
              <w:t xml:space="preserve">NSO RFP Volume II</w:t>
            </w:r>
          </w:p>
        </w:tc>
        <w:tc>
          <w:tcPr>
            <w:tcW w:type="dxa" w:w="2889"/>
            <w:shd w:fill="F2F5F7" w:color="auto" w:val="clear"/>
            <w:tcMar>
              <w:top w:type="dxa" w:w="90"/>
              <w:left w:type="dxa" w:w="120"/>
              <w:bottom w:type="dxa" w:w="90"/>
              <w:right w:type="dxa" w:w="120"/>
            </w:tcMar>
          </w:tcPr>
          <w:p>
            <w:pPr>
              <w:spacing w:after="0" w:line="264"/>
            </w:pPr>
            <w:r>
              <w:rPr>
                <w:color w:val="1A1A1A"/>
                <w:sz w:val="17"/>
                <w:szCs w:val="17"/>
              </w:rPr>
              <w:t xml:space="preserve">Controlling tender volume</w:t>
            </w:r>
          </w:p>
        </w:tc>
        <w:tc>
          <w:tcPr>
            <w:tcW w:type="dxa" w:w="4333"/>
            <w:shd w:fill="F2F5F7" w:color="auto" w:val="clear"/>
            <w:tcMar>
              <w:top w:type="dxa" w:w="90"/>
              <w:left w:type="dxa" w:w="120"/>
              <w:bottom w:type="dxa" w:w="90"/>
              <w:right w:type="dxa" w:w="120"/>
            </w:tcMar>
          </w:tcPr>
          <w:p>
            <w:pPr>
              <w:spacing w:after="0" w:line="264"/>
            </w:pPr>
            <w:r>
              <w:rPr>
                <w:color w:val="1A1A1A"/>
                <w:sz w:val="17"/>
                <w:szCs w:val="17"/>
              </w:rPr>
              <w:t xml:space="preserve">41644c207213</w:t>
            </w:r>
          </w:p>
        </w:tc>
      </w:tr>
      <w:tr>
        <w:tc>
          <w:tcPr>
            <w:tcW w:type="dxa" w:w="1806"/>
            <w:shd w:fill="FFFFFF" w:color="auto" w:val="clear"/>
            <w:tcMar>
              <w:top w:type="dxa" w:w="90"/>
              <w:left w:type="dxa" w:w="120"/>
              <w:bottom w:type="dxa" w:w="90"/>
              <w:right w:type="dxa" w:w="120"/>
            </w:tcMar>
          </w:tcPr>
          <w:p>
            <w:pPr>
              <w:spacing w:after="0" w:line="264"/>
            </w:pPr>
            <w:r>
              <w:rPr>
                <w:color w:val="1A1A1A"/>
                <w:sz w:val="17"/>
                <w:szCs w:val="17"/>
              </w:rPr>
              <w:t xml:space="preserve">NSO RFP Volume III (Model ESA)</w:t>
            </w:r>
          </w:p>
        </w:tc>
        <w:tc>
          <w:tcPr>
            <w:tcW w:type="dxa" w:w="2889"/>
            <w:shd w:fill="FFFFFF" w:color="auto" w:val="clear"/>
            <w:tcMar>
              <w:top w:type="dxa" w:w="90"/>
              <w:left w:type="dxa" w:w="120"/>
              <w:bottom w:type="dxa" w:w="90"/>
              <w:right w:type="dxa" w:w="120"/>
            </w:tcMar>
          </w:tcPr>
          <w:p>
            <w:pPr>
              <w:spacing w:after="0" w:line="264"/>
            </w:pPr>
            <w:r>
              <w:rPr>
                <w:color w:val="1A1A1A"/>
                <w:sz w:val="17"/>
                <w:szCs w:val="17"/>
              </w:rPr>
              <w:t xml:space="preserve">Controlling tender volume</w:t>
            </w:r>
          </w:p>
        </w:tc>
        <w:tc>
          <w:tcPr>
            <w:tcW w:type="dxa" w:w="4333"/>
            <w:shd w:fill="FFFFFF" w:color="auto" w:val="clear"/>
            <w:tcMar>
              <w:top w:type="dxa" w:w="90"/>
              <w:left w:type="dxa" w:w="120"/>
              <w:bottom w:type="dxa" w:w="90"/>
              <w:right w:type="dxa" w:w="120"/>
            </w:tcMar>
          </w:tcPr>
          <w:p>
            <w:pPr>
              <w:spacing w:after="0" w:line="264"/>
            </w:pPr>
            <w:r>
              <w:rPr>
                <w:color w:val="1A1A1A"/>
                <w:sz w:val="17"/>
                <w:szCs w:val="17"/>
              </w:rPr>
              <w:t xml:space="preserve">d3413e9d1a1b</w:t>
            </w:r>
          </w:p>
        </w:tc>
      </w:tr>
      <w:tr>
        <w:tc>
          <w:tcPr>
            <w:tcW w:type="dxa" w:w="1806"/>
            <w:shd w:fill="F2F5F7" w:color="auto" w:val="clear"/>
            <w:tcMar>
              <w:top w:type="dxa" w:w="90"/>
              <w:left w:type="dxa" w:w="120"/>
              <w:bottom w:type="dxa" w:w="90"/>
              <w:right w:type="dxa" w:w="120"/>
            </w:tcMar>
          </w:tcPr>
          <w:p>
            <w:pPr>
              <w:spacing w:after="0" w:line="264"/>
            </w:pPr>
            <w:r>
              <w:rPr>
                <w:color w:val="1A1A1A"/>
                <w:sz w:val="17"/>
                <w:szCs w:val="17"/>
              </w:rPr>
              <w:t xml:space="preserve">Addendum No. 01, 7 August 2026</w:t>
            </w:r>
          </w:p>
        </w:tc>
        <w:tc>
          <w:tcPr>
            <w:tcW w:type="dxa" w:w="2889"/>
            <w:shd w:fill="F2F5F7" w:color="auto" w:val="clear"/>
            <w:tcMar>
              <w:top w:type="dxa" w:w="90"/>
              <w:left w:type="dxa" w:w="120"/>
              <w:bottom w:type="dxa" w:w="90"/>
              <w:right w:type="dxa" w:w="120"/>
            </w:tcMar>
          </w:tcPr>
          <w:p>
            <w:pPr>
              <w:spacing w:after="0" w:line="264"/>
            </w:pPr>
            <w:r>
              <w:rPr>
                <w:color w:val="1A1A1A"/>
                <w:sz w:val="17"/>
                <w:szCs w:val="17"/>
              </w:rPr>
              <w:t xml:space="preserve">Controlling amendment - overrides what it amends</w:t>
            </w:r>
          </w:p>
        </w:tc>
        <w:tc>
          <w:tcPr>
            <w:tcW w:type="dxa" w:w="4333"/>
            <w:shd w:fill="F2F5F7" w:color="auto" w:val="clear"/>
            <w:tcMar>
              <w:top w:type="dxa" w:w="90"/>
              <w:left w:type="dxa" w:w="120"/>
              <w:bottom w:type="dxa" w:w="90"/>
              <w:right w:type="dxa" w:w="120"/>
            </w:tcMar>
          </w:tcPr>
          <w:p>
            <w:pPr>
              <w:spacing w:after="0" w:line="264"/>
            </w:pPr>
            <w:r>
              <w:rPr>
                <w:color w:val="1A1A1A"/>
                <w:sz w:val="17"/>
                <w:szCs w:val="17"/>
              </w:rPr>
              <w:t xml:space="preserve">2b99b1e507d8</w:t>
            </w:r>
          </w:p>
        </w:tc>
      </w:tr>
      <w:tr>
        <w:tc>
          <w:tcPr>
            <w:tcW w:type="dxa" w:w="1806"/>
            <w:shd w:fill="FFFFFF" w:color="auto" w:val="clear"/>
            <w:tcMar>
              <w:top w:type="dxa" w:w="90"/>
              <w:left w:type="dxa" w:w="120"/>
              <w:bottom w:type="dxa" w:w="90"/>
              <w:right w:type="dxa" w:w="120"/>
            </w:tcMar>
          </w:tcPr>
          <w:p>
            <w:pPr>
              <w:spacing w:after="0" w:line="264"/>
            </w:pPr>
            <w:r>
              <w:rPr>
                <w:color w:val="1A1A1A"/>
                <w:sz w:val="17"/>
                <w:szCs w:val="17"/>
              </w:rPr>
              <w:t xml:space="preserve">Annex A Functional and Performance Requirement</w:t>
            </w:r>
          </w:p>
        </w:tc>
        <w:tc>
          <w:tcPr>
            <w:tcW w:type="dxa" w:w="2889"/>
            <w:shd w:fill="FFFFFF" w:color="auto" w:val="clear"/>
            <w:tcMar>
              <w:top w:type="dxa" w:w="90"/>
              <w:left w:type="dxa" w:w="120"/>
              <w:bottom w:type="dxa" w:w="90"/>
              <w:right w:type="dxa" w:w="120"/>
            </w:tcMar>
          </w:tcPr>
          <w:p>
            <w:pPr>
              <w:spacing w:after="0" w:line="264"/>
            </w:pPr>
            <w:r>
              <w:rPr>
                <w:color w:val="1A1A1A"/>
                <w:sz w:val="17"/>
                <w:szCs w:val="17"/>
              </w:rPr>
              <w:t xml:space="preserve">Controlling technical annex</w:t>
            </w:r>
          </w:p>
        </w:tc>
        <w:tc>
          <w:tcPr>
            <w:tcW w:type="dxa" w:w="4333"/>
            <w:shd w:fill="FFFFFF" w:color="auto" w:val="clear"/>
            <w:tcMar>
              <w:top w:type="dxa" w:w="90"/>
              <w:left w:type="dxa" w:w="120"/>
              <w:bottom w:type="dxa" w:w="90"/>
              <w:right w:type="dxa" w:w="120"/>
            </w:tcMar>
          </w:tcPr>
          <w:p>
            <w:pPr>
              <w:spacing w:after="0" w:line="264"/>
            </w:pPr>
            <w:r>
              <w:rPr>
                <w:color w:val="1A1A1A"/>
                <w:sz w:val="17"/>
                <w:szCs w:val="17"/>
              </w:rPr>
              <w:t xml:space="preserve">be599073f597</w:t>
            </w:r>
          </w:p>
        </w:tc>
      </w:tr>
      <w:tr>
        <w:tc>
          <w:tcPr>
            <w:tcW w:type="dxa" w:w="1806"/>
            <w:shd w:fill="F2F5F7" w:color="auto" w:val="clear"/>
            <w:tcMar>
              <w:top w:type="dxa" w:w="90"/>
              <w:left w:type="dxa" w:w="120"/>
              <w:bottom w:type="dxa" w:w="90"/>
              <w:right w:type="dxa" w:w="120"/>
            </w:tcMar>
          </w:tcPr>
          <w:p>
            <w:pPr>
              <w:spacing w:after="0" w:line="264"/>
            </w:pPr>
            <w:r>
              <w:rPr>
                <w:color w:val="1A1A1A"/>
                <w:sz w:val="17"/>
                <w:szCs w:val="17"/>
              </w:rPr>
              <w:t xml:space="preserve">Clarification register, 76 items, 21 August 2026</w:t>
            </w:r>
          </w:p>
        </w:tc>
        <w:tc>
          <w:tcPr>
            <w:tcW w:type="dxa" w:w="2889"/>
            <w:shd w:fill="F2F5F7" w:color="auto" w:val="clear"/>
            <w:tcMar>
              <w:top w:type="dxa" w:w="90"/>
              <w:left w:type="dxa" w:w="120"/>
              <w:bottom w:type="dxa" w:w="90"/>
              <w:right w:type="dxa" w:w="120"/>
            </w:tcMar>
          </w:tcPr>
          <w:p>
            <w:pPr>
              <w:spacing w:after="0" w:line="264"/>
            </w:pPr>
            <w:r>
              <w:rPr>
                <w:color w:val="1A1A1A"/>
                <w:sz w:val="17"/>
                <w:szCs w:val="17"/>
              </w:rPr>
              <w:t xml:space="preserve">Controlling clarifications (image-only scan; read from page images)</w:t>
            </w:r>
          </w:p>
        </w:tc>
        <w:tc>
          <w:tcPr>
            <w:tcW w:type="dxa" w:w="4333"/>
            <w:shd w:fill="F2F5F7" w:color="auto" w:val="clear"/>
            <w:tcMar>
              <w:top w:type="dxa" w:w="90"/>
              <w:left w:type="dxa" w:w="120"/>
              <w:bottom w:type="dxa" w:w="90"/>
              <w:right w:type="dxa" w:w="120"/>
            </w:tcMar>
          </w:tcPr>
          <w:p>
            <w:pPr>
              <w:spacing w:after="0" w:line="264"/>
            </w:pPr>
            <w:r>
              <w:rPr>
                <w:color w:val="1A1A1A"/>
                <w:sz w:val="17"/>
                <w:szCs w:val="17"/>
              </w:rPr>
              <w:t xml:space="preserve">73fbaca1a7e7</w:t>
            </w:r>
          </w:p>
        </w:tc>
      </w:tr>
      <w:tr>
        <w:tc>
          <w:tcPr>
            <w:tcW w:type="dxa" w:w="1806"/>
            <w:shd w:fill="FFFFFF" w:color="auto" w:val="clear"/>
            <w:tcMar>
              <w:top w:type="dxa" w:w="90"/>
              <w:left w:type="dxa" w:w="120"/>
              <w:bottom w:type="dxa" w:w="90"/>
              <w:right w:type="dxa" w:w="120"/>
            </w:tcMar>
          </w:tcPr>
          <w:p>
            <w:pPr>
              <w:spacing w:after="0" w:line="264"/>
            </w:pPr>
            <w:r>
              <w:rPr>
                <w:color w:val="1A1A1A"/>
                <w:sz w:val="17"/>
                <w:szCs w:val="17"/>
              </w:rPr>
              <w:t xml:space="preserve">Envision design calculation 10 MW / 40 MWh, 29 July 2026</w:t>
            </w:r>
          </w:p>
        </w:tc>
        <w:tc>
          <w:tcPr>
            <w:tcW w:type="dxa" w:w="2889"/>
            <w:shd w:fill="FFFFFF" w:color="auto" w:val="clear"/>
            <w:tcMar>
              <w:top w:type="dxa" w:w="90"/>
              <w:left w:type="dxa" w:w="120"/>
              <w:bottom w:type="dxa" w:w="90"/>
              <w:right w:type="dxa" w:w="120"/>
            </w:tcMar>
          </w:tcPr>
          <w:p>
            <w:pPr>
              <w:spacing w:after="0" w:line="264"/>
            </w:pPr>
            <w:r>
              <w:rPr>
                <w:color w:val="1A1A1A"/>
                <w:sz w:val="17"/>
                <w:szCs w:val="17"/>
              </w:rPr>
              <w:t xml:space="preserve">OEM evidence - superseded 5 August</w:t>
            </w:r>
          </w:p>
        </w:tc>
        <w:tc>
          <w:tcPr>
            <w:tcW w:type="dxa" w:w="4333"/>
            <w:shd w:fill="FFFFFF" w:color="auto" w:val="clear"/>
            <w:tcMar>
              <w:top w:type="dxa" w:w="90"/>
              <w:left w:type="dxa" w:w="120"/>
              <w:bottom w:type="dxa" w:w="90"/>
              <w:right w:type="dxa" w:w="120"/>
            </w:tcMar>
          </w:tcPr>
          <w:p>
            <w:pPr>
              <w:spacing w:after="0" w:line="264"/>
            </w:pPr>
            <w:r>
              <w:rPr>
                <w:color w:val="1A1A1A"/>
                <w:sz w:val="17"/>
                <w:szCs w:val="17"/>
              </w:rPr>
              <w:t xml:space="preserve">7281d964654e</w:t>
            </w:r>
          </w:p>
        </w:tc>
      </w:tr>
      <w:tr>
        <w:tc>
          <w:tcPr>
            <w:tcW w:type="dxa" w:w="1806"/>
            <w:shd w:fill="F2F5F7" w:color="auto" w:val="clear"/>
            <w:tcMar>
              <w:top w:type="dxa" w:w="90"/>
              <w:left w:type="dxa" w:w="120"/>
              <w:bottom w:type="dxa" w:w="90"/>
              <w:right w:type="dxa" w:w="120"/>
            </w:tcMar>
          </w:tcPr>
          <w:p>
            <w:pPr>
              <w:spacing w:after="0" w:line="264"/>
            </w:pPr>
            <w:r>
              <w:rPr>
                <w:color w:val="1A1A1A"/>
                <w:sz w:val="17"/>
                <w:szCs w:val="17"/>
              </w:rPr>
              <w:t xml:space="preserve">Envision design calculation 11 MW / 44 MWh, 5 August 2026</w:t>
            </w:r>
          </w:p>
        </w:tc>
        <w:tc>
          <w:tcPr>
            <w:tcW w:type="dxa" w:w="2889"/>
            <w:shd w:fill="F2F5F7" w:color="auto" w:val="clear"/>
            <w:tcMar>
              <w:top w:type="dxa" w:w="90"/>
              <w:left w:type="dxa" w:w="120"/>
              <w:bottom w:type="dxa" w:w="90"/>
              <w:right w:type="dxa" w:w="120"/>
            </w:tcMar>
          </w:tcPr>
          <w:p>
            <w:pPr>
              <w:spacing w:after="0" w:line="264"/>
            </w:pPr>
            <w:r>
              <w:rPr>
                <w:color w:val="1A1A1A"/>
                <w:sz w:val="17"/>
                <w:szCs w:val="17"/>
              </w:rPr>
              <w:t xml:space="preserve">OEM evidence - the offered configuration</w:t>
            </w:r>
          </w:p>
        </w:tc>
        <w:tc>
          <w:tcPr>
            <w:tcW w:type="dxa" w:w="4333"/>
            <w:shd w:fill="F2F5F7" w:color="auto" w:val="clear"/>
            <w:tcMar>
              <w:top w:type="dxa" w:w="90"/>
              <w:left w:type="dxa" w:w="120"/>
              <w:bottom w:type="dxa" w:w="90"/>
              <w:right w:type="dxa" w:w="120"/>
            </w:tcMar>
          </w:tcPr>
          <w:p>
            <w:pPr>
              <w:spacing w:after="0" w:line="264"/>
            </w:pPr>
            <w:r>
              <w:rPr>
                <w:color w:val="1A1A1A"/>
                <w:sz w:val="17"/>
                <w:szCs w:val="17"/>
              </w:rPr>
              <w:t xml:space="preserve">0cf77ec5d761</w:t>
            </w:r>
          </w:p>
        </w:tc>
      </w:tr>
      <w:tr>
        <w:tc>
          <w:tcPr>
            <w:tcW w:type="dxa" w:w="1806"/>
            <w:shd w:fill="FFFFFF" w:color="auto" w:val="clear"/>
            <w:tcMar>
              <w:top w:type="dxa" w:w="90"/>
              <w:left w:type="dxa" w:w="120"/>
              <w:bottom w:type="dxa" w:w="90"/>
              <w:right w:type="dxa" w:w="120"/>
            </w:tcMar>
          </w:tcPr>
          <w:p>
            <w:pPr>
              <w:spacing w:after="0" w:line="264"/>
            </w:pPr>
            <w:r>
              <w:rPr>
                <w:color w:val="1A1A1A"/>
                <w:sz w:val="17"/>
                <w:szCs w:val="17"/>
              </w:rPr>
              <w:t xml:space="preserve">Envision functional-requirements checklist</w:t>
            </w:r>
          </w:p>
        </w:tc>
        <w:tc>
          <w:tcPr>
            <w:tcW w:type="dxa" w:w="2889"/>
            <w:shd w:fill="FFFFFF" w:color="auto" w:val="clear"/>
            <w:tcMar>
              <w:top w:type="dxa" w:w="90"/>
              <w:left w:type="dxa" w:w="120"/>
              <w:bottom w:type="dxa" w:w="90"/>
              <w:right w:type="dxa" w:w="120"/>
            </w:tcMar>
          </w:tcPr>
          <w:p>
            <w:pPr>
              <w:spacing w:after="0" w:line="264"/>
            </w:pPr>
            <w:r>
              <w:rPr>
                <w:color w:val="1A1A1A"/>
                <w:sz w:val="17"/>
                <w:szCs w:val="17"/>
              </w:rPr>
              <w:t xml:space="preserve">Supplier declaration - not evidence</w:t>
            </w:r>
          </w:p>
        </w:tc>
        <w:tc>
          <w:tcPr>
            <w:tcW w:type="dxa" w:w="4333"/>
            <w:shd w:fill="FFFFFF" w:color="auto" w:val="clear"/>
            <w:tcMar>
              <w:top w:type="dxa" w:w="90"/>
              <w:left w:type="dxa" w:w="120"/>
              <w:bottom w:type="dxa" w:w="90"/>
              <w:right w:type="dxa" w:w="120"/>
            </w:tcMar>
          </w:tcPr>
          <w:p>
            <w:pPr>
              <w:spacing w:after="0" w:line="264"/>
            </w:pPr>
            <w:r>
              <w:rPr>
                <w:color w:val="1A1A1A"/>
                <w:sz w:val="17"/>
                <w:szCs w:val="17"/>
              </w:rPr>
              <w:t xml:space="preserve">8236806c21f6</w:t>
            </w:r>
          </w:p>
        </w:tc>
      </w:tr>
      <w:tr>
        <w:tc>
          <w:tcPr>
            <w:tcW w:type="dxa" w:w="1806"/>
            <w:shd w:fill="F2F5F7" w:color="auto" w:val="clear"/>
            <w:tcMar>
              <w:top w:type="dxa" w:w="90"/>
              <w:left w:type="dxa" w:w="120"/>
              <w:bottom w:type="dxa" w:w="90"/>
              <w:right w:type="dxa" w:w="120"/>
            </w:tcMar>
          </w:tcPr>
          <w:p>
            <w:pPr>
              <w:spacing w:after="0" w:line="264"/>
            </w:pPr>
            <w:r>
              <w:rPr>
                <w:color w:val="1A1A1A"/>
                <w:sz w:val="17"/>
                <w:szCs w:val="17"/>
              </w:rPr>
              <w:t xml:space="preserve">Bidder evidence dossier, 21 August 2026</w:t>
            </w:r>
          </w:p>
        </w:tc>
        <w:tc>
          <w:tcPr>
            <w:tcW w:type="dxa" w:w="2889"/>
            <w:shd w:fill="F2F5F7" w:color="auto" w:val="clear"/>
            <w:tcMar>
              <w:top w:type="dxa" w:w="90"/>
              <w:left w:type="dxa" w:w="120"/>
              <w:bottom w:type="dxa" w:w="90"/>
              <w:right w:type="dxa" w:w="120"/>
            </w:tcMar>
          </w:tcPr>
          <w:p>
            <w:pPr>
              <w:spacing w:after="0" w:line="264"/>
            </w:pPr>
            <w:r>
              <w:rPr>
                <w:color w:val="1A1A1A"/>
                <w:sz w:val="17"/>
                <w:szCs w:val="17"/>
              </w:rPr>
              <w:t xml:space="preserve">OEM evidence - held outside the repository, manifest only</w:t>
            </w:r>
          </w:p>
        </w:tc>
        <w:tc>
          <w:tcPr>
            <w:tcW w:type="dxa" w:w="4333"/>
            <w:shd w:fill="F2F5F7" w:color="auto" w:val="clear"/>
            <w:tcMar>
              <w:top w:type="dxa" w:w="90"/>
              <w:left w:type="dxa" w:w="120"/>
              <w:bottom w:type="dxa" w:w="90"/>
              <w:right w:type="dxa" w:w="120"/>
            </w:tcMar>
          </w:tcPr>
          <w:p>
            <w:pPr>
              <w:spacing w:after="0" w:line="264"/>
            </w:pPr>
            <w:r>
              <w:rPr>
                <w:color w:val="1A1A1A"/>
                <w:sz w:val="17"/>
                <w:szCs w:val="17"/>
              </w:rPr>
              <w:t xml:space="preserve">not committed</w:t>
            </w:r>
          </w:p>
        </w:tc>
      </w:tr>
    </w:tbl>
    <w:p>
      <w:pPr>
        <w:spacing w:after="120" w:line="276"/>
      </w:pPr>
      <w:r>
        <w:rPr>
          <w:i/>
          <w:iCs/>
          <w:color w:val="5A6472"/>
          <w:sz w:val="16"/>
          <w:szCs w:val="16"/>
        </w:rPr>
        <w:t xml:space="preserve">Source: docs/source_materials/nso_bess_250mw_2026/MANIFEST.sha256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8"/>
      </w:tabs>
    </w:pPr>
    <w:r>
      <w:rPr>
        <w:color w:val="5A6472"/>
        <w:sz w:val="14"/>
        <w:szCs w:val="14"/>
      </w:rPr>
      <w:t xml:space="preserve">DBAY-EPROP-DRAFT | v0.1 DRAFT | 2026-08-27 | DRAFT FOR ENVISION COMPLETION - not an Envision document</w:t>
    </w:r>
    <w:r>
      <w:rPr>
        <w:sz w:val="14"/>
        <w:szCs w:val="14"/>
      </w:rPr>
      <w:t xml:space="preserve">	</w:t>
    </w:r>
    <w:r>
      <w:rPr>
        <w:color w:val="5A6472"/>
        <w:sz w:val="14"/>
        <w:szCs w:val="14"/>
      </w:rPr>
      <w:t xml:space="preserve">Page </w:t>
    </w:r>
    <w:r>
      <w:rPr>
        <w:color w:val="5A6472"/>
        <w:sz w:val="14"/>
        <w:szCs w:val="14"/>
      </w:rPr>
      <w:fldChar w:fldCharType="begin"/>
      <w:instrText xml:space="preserve">PAGE</w:instrText>
      <w:fldChar w:fldCharType="separate"/>
      <w:fldChar w:fldCharType="end"/>
    </w:r>
    <w:r>
      <w:rPr>
        <w:color w:val="5A6472"/>
        <w:sz w:val="14"/>
        <w:szCs w:val="14"/>
      </w:rPr>
      <w:t xml:space="preserve"> of </w:t>
    </w:r>
    <w:r>
      <w:rPr>
        <w:color w:val="5A6472"/>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A" w:sz="6" w:space="6"/>
      </w:pBdr>
      <w:spacing w:after="60"/>
    </w:pPr>
    <w:r>
      <w:rPr>
        <w:b/>
        <w:bCs/>
        <w:color w:val="C00000"/>
        <w:sz w:val="15"/>
        <w:szCs w:val="15"/>
      </w:rPr>
      <w:t xml:space="preserve">DRAFT FOR ENVISION COMPLETION | RED = DRAFTED GAP-FILL, UNVERIFIED | TR/REP&amp;PM/ICB/2026/001/C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Proposal - NSO 250 MW / 1000 MWh Standalone BESS</dc:title>
  <dc:creator>DutchBay Technical Advisory</dc:creator>
  <dc:description>DRAFT FOR ENVISION COMPLETION — red text is drafted gap-fill, unverified.</dc:description>
  <cp:lastModifiedBy>Un-named</cp:lastModifiedBy>
  <cp:revision>1</cp:revision>
  <dcterms:created xsi:type="dcterms:W3CDTF">2026-08-27T09:17:03.048Z</dcterms:created>
  <dcterms:modified xsi:type="dcterms:W3CDTF">2026-08-27T09:17:03.079Z</dcterms:modified>
</cp:coreProperties>
</file>

<file path=docProps/custom.xml><?xml version="1.0" encoding="utf-8"?>
<Properties xmlns="http://schemas.openxmlformats.org/officeDocument/2006/custom-properties" xmlns:vt="http://schemas.openxmlformats.org/officeDocument/2006/docPropsVTypes"/>
</file>