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8530" w14:textId="3A8F2EFB" w:rsidR="009D6863" w:rsidRPr="00DF114B" w:rsidRDefault="00F1233B" w:rsidP="009D767A">
      <w:pPr>
        <w:rPr>
          <w:rFonts w:ascii="Segoe UI" w:hAnsi="Segoe UI" w:cs="Segoe UI"/>
          <w:b/>
          <w:bCs/>
          <w:sz w:val="24"/>
          <w:szCs w:val="24"/>
        </w:rPr>
      </w:pPr>
      <w:r w:rsidRPr="00DF114B">
        <w:rPr>
          <w:rFonts w:ascii="Segoe UI" w:hAnsi="Segoe UI" w:cs="Segoe UI"/>
          <w:b/>
          <w:bCs/>
          <w:sz w:val="24"/>
          <w:szCs w:val="24"/>
        </w:rPr>
        <w:t>Frontend Data Visualization: Dashboard Report</w:t>
      </w:r>
    </w:p>
    <w:p w14:paraId="67523FF0" w14:textId="34885EBF" w:rsidR="0008049D" w:rsidRPr="006E6D96" w:rsidRDefault="0008049D" w:rsidP="009D767A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sz w:val="20"/>
          <w:szCs w:val="20"/>
        </w:rPr>
        <w:t>(Dynamic &amp; Static Views)</w:t>
      </w:r>
    </w:p>
    <w:p w14:paraId="774B83FA" w14:textId="79CC7573" w:rsidR="009D767A" w:rsidRPr="006E6D96" w:rsidRDefault="0097625C" w:rsidP="009D767A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 xml:space="preserve">Project </w:t>
      </w:r>
      <w:r w:rsidR="009D767A" w:rsidRPr="006E6D96">
        <w:rPr>
          <w:rFonts w:ascii="Segoe UI" w:hAnsi="Segoe UI" w:cs="Segoe UI"/>
          <w:b/>
          <w:bCs/>
          <w:sz w:val="20"/>
          <w:szCs w:val="20"/>
        </w:rPr>
        <w:t>Tittle: Predictive Talent Analytics: Engagement vs. Burnout Risk – Palo Alto Networks</w:t>
      </w:r>
    </w:p>
    <w:p w14:paraId="40369FA9" w14:textId="0CE0BF55" w:rsidR="009D767A" w:rsidRPr="006E6D96" w:rsidRDefault="009D767A" w:rsidP="0097625C">
      <w:pPr>
        <w:rPr>
          <w:rFonts w:ascii="Segoe UI" w:hAnsi="Segoe UI" w:cs="Segoe UI"/>
          <w:sz w:val="18"/>
          <w:szCs w:val="18"/>
        </w:rPr>
      </w:pPr>
      <w:r w:rsidRPr="006E6D96">
        <w:rPr>
          <w:rFonts w:ascii="Segoe UI" w:hAnsi="Segoe UI" w:cs="Segoe UI"/>
          <w:sz w:val="18"/>
          <w:szCs w:val="18"/>
        </w:rPr>
        <w:t xml:space="preserve"> (Proactive Attrition Logic &amp; Predictive Modeling)</w:t>
      </w:r>
    </w:p>
    <w:p w14:paraId="1A8F6D56" w14:textId="182AC941" w:rsidR="00F1233B" w:rsidRPr="006E6D96" w:rsidRDefault="00F1233B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Industry Partner:</w:t>
      </w:r>
      <w:r w:rsidRPr="006E6D96">
        <w:rPr>
          <w:rFonts w:ascii="Segoe UI" w:hAnsi="Segoe UI" w:cs="Segoe UI"/>
          <w:sz w:val="20"/>
          <w:szCs w:val="20"/>
        </w:rPr>
        <w:t xml:space="preserve"> </w:t>
      </w:r>
      <w:r w:rsidRPr="006E6D96">
        <w:rPr>
          <w:rFonts w:ascii="Segoe UI" w:hAnsi="Segoe UI" w:cs="Segoe UI"/>
          <w:b/>
          <w:bCs/>
          <w:sz w:val="20"/>
          <w:szCs w:val="20"/>
        </w:rPr>
        <w:t>Palo Alto Networks</w:t>
      </w:r>
    </w:p>
    <w:p w14:paraId="4C096F17" w14:textId="77777777" w:rsidR="00F22BAC" w:rsidRPr="006E6D96" w:rsidRDefault="0097625C" w:rsidP="00F22BA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Organization:</w:t>
      </w:r>
      <w:r w:rsidRPr="006E6D96">
        <w:rPr>
          <w:rFonts w:ascii="Segoe UI" w:hAnsi="Segoe UI" w:cs="Segoe UI"/>
          <w:sz w:val="20"/>
          <w:szCs w:val="20"/>
        </w:rPr>
        <w:t xml:space="preserve"> </w:t>
      </w:r>
      <w:r w:rsidR="00F22BAC" w:rsidRPr="006E6D96">
        <w:rPr>
          <w:rFonts w:ascii="Segoe UI" w:hAnsi="Segoe UI" w:cs="Segoe UI"/>
          <w:b/>
          <w:bCs/>
          <w:sz w:val="20"/>
          <w:szCs w:val="20"/>
        </w:rPr>
        <w:t>Unified Mentor Pvt. Ltd. (Internship 2026)</w:t>
      </w:r>
    </w:p>
    <w:p w14:paraId="311E3E99" w14:textId="6ABC9F77" w:rsidR="009D6863" w:rsidRPr="006E6D96" w:rsidRDefault="009D6863" w:rsidP="00F22BAC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Tool Used</w:t>
      </w:r>
      <w:r w:rsidRPr="006E6D96">
        <w:rPr>
          <w:rFonts w:ascii="Segoe UI" w:hAnsi="Segoe UI" w:cs="Segoe UI"/>
          <w:sz w:val="20"/>
          <w:szCs w:val="20"/>
        </w:rPr>
        <w:t xml:space="preserve">: </w:t>
      </w:r>
      <w:r w:rsidR="0008049D" w:rsidRPr="006E6D96">
        <w:rPr>
          <w:rFonts w:ascii="Segoe UI" w:hAnsi="Segoe UI" w:cs="Segoe UI"/>
          <w:sz w:val="20"/>
          <w:szCs w:val="20"/>
        </w:rPr>
        <w:t>Power BI Desktop (Visuals</w:t>
      </w:r>
      <w:proofErr w:type="gramStart"/>
      <w:r w:rsidR="0008049D" w:rsidRPr="006E6D96">
        <w:rPr>
          <w:rFonts w:ascii="Segoe UI" w:hAnsi="Segoe UI" w:cs="Segoe UI"/>
          <w:sz w:val="20"/>
          <w:szCs w:val="20"/>
        </w:rPr>
        <w:t xml:space="preserve">) </w:t>
      </w:r>
      <w:r w:rsidR="00D403BE">
        <w:rPr>
          <w:rFonts w:ascii="Segoe UI" w:hAnsi="Segoe UI" w:cs="Segoe UI"/>
          <w:sz w:val="20"/>
          <w:szCs w:val="20"/>
        </w:rPr>
        <w:t>,</w:t>
      </w:r>
      <w:proofErr w:type="gramEnd"/>
      <w:r w:rsidR="0008049D" w:rsidRPr="006E6D96">
        <w:rPr>
          <w:rFonts w:ascii="Segoe UI" w:hAnsi="Segoe UI" w:cs="Segoe UI"/>
          <w:sz w:val="20"/>
          <w:szCs w:val="20"/>
        </w:rPr>
        <w:t xml:space="preserve"> DAX (Logic) &amp; Python Script</w:t>
      </w:r>
    </w:p>
    <w:p w14:paraId="6D761C81" w14:textId="5AF3675D" w:rsidR="0097625C" w:rsidRPr="006E6D96" w:rsidRDefault="0097625C" w:rsidP="0097625C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Theme:</w:t>
      </w:r>
      <w:r w:rsidRPr="006E6D96">
        <w:rPr>
          <w:rFonts w:ascii="Segoe UI" w:hAnsi="Segoe UI" w:cs="Segoe UI"/>
          <w:sz w:val="20"/>
          <w:szCs w:val="20"/>
        </w:rPr>
        <w:t xml:space="preserve"> Lavender &amp; </w:t>
      </w:r>
      <w:r w:rsidR="00E42564">
        <w:rPr>
          <w:rFonts w:ascii="Segoe UI" w:hAnsi="Segoe UI" w:cs="Segoe UI"/>
          <w:sz w:val="20"/>
          <w:szCs w:val="20"/>
        </w:rPr>
        <w:t>Wine</w:t>
      </w:r>
      <w:r w:rsidRPr="006E6D96">
        <w:rPr>
          <w:rFonts w:ascii="Segoe UI" w:hAnsi="Segoe UI" w:cs="Segoe UI"/>
          <w:sz w:val="20"/>
          <w:szCs w:val="20"/>
        </w:rPr>
        <w:t xml:space="preserve"> </w:t>
      </w:r>
      <w:r w:rsidR="00E42564">
        <w:rPr>
          <w:rFonts w:ascii="Segoe UI" w:hAnsi="Segoe UI" w:cs="Segoe UI"/>
          <w:sz w:val="20"/>
          <w:szCs w:val="20"/>
        </w:rPr>
        <w:t>Red (Maroon) Professional</w:t>
      </w:r>
    </w:p>
    <w:p w14:paraId="67308389" w14:textId="77777777" w:rsidR="0097625C" w:rsidRPr="006E6D96" w:rsidRDefault="00000000" w:rsidP="0097625C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793D6ED1">
          <v:rect id="_x0000_i1026" style="width:0;height:1.5pt" o:hralign="center" o:hrstd="t" o:hr="t" fillcolor="#a0a0a0" stroked="f"/>
        </w:pict>
      </w:r>
    </w:p>
    <w:p w14:paraId="282FC8B6" w14:textId="4C33BFA4" w:rsidR="0097625C" w:rsidRPr="006E6D96" w:rsidRDefault="0097625C" w:rsidP="0097625C">
      <w:pPr>
        <w:pStyle w:val="ListParagraph"/>
        <w:numPr>
          <w:ilvl w:val="0"/>
          <w:numId w:val="8"/>
        </w:num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 xml:space="preserve">Technical Infrastructure: </w:t>
      </w:r>
    </w:p>
    <w:p w14:paraId="4B331694" w14:textId="14E3D84A" w:rsidR="0097625C" w:rsidRPr="006E6D96" w:rsidRDefault="0097625C" w:rsidP="0097625C">
      <w:pPr>
        <w:pStyle w:val="ListParagraph"/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DAX &amp; Measures</w:t>
      </w:r>
    </w:p>
    <w:p w14:paraId="01F6169E" w14:textId="28F6CB66" w:rsidR="0097625C" w:rsidRDefault="0097625C" w:rsidP="0097625C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sz w:val="20"/>
          <w:szCs w:val="20"/>
        </w:rPr>
        <w:t>The foundation of this dashboard is built on custom DAX measures that allow for real-time, dynamic analysis.</w:t>
      </w:r>
    </w:p>
    <w:p w14:paraId="37020B21" w14:textId="6E22A524" w:rsidR="006B7AFA" w:rsidRDefault="006B7AFA" w:rsidP="0097625C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FD997" wp14:editId="1D1DBEC7">
                <wp:simplePos x="0" y="0"/>
                <wp:positionH relativeFrom="margin">
                  <wp:align>left</wp:align>
                </wp:positionH>
                <wp:positionV relativeFrom="paragraph">
                  <wp:posOffset>62865</wp:posOffset>
                </wp:positionV>
                <wp:extent cx="5600700" cy="5105400"/>
                <wp:effectExtent l="0" t="0" r="19050" b="19050"/>
                <wp:wrapNone/>
                <wp:docPr id="401707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510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B3539" w14:textId="4F25E270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Total Workforce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=  COUNT</w:t>
                            </w:r>
                            <w:proofErr w:type="gramEnd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('Cleaned_Project_Data')</w:t>
                            </w:r>
                            <w:r w:rsidR="00D403BE" w:rsidRPr="00D403B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03BE"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[Gender]</w:t>
                            </w:r>
                          </w:p>
                          <w:p w14:paraId="7A95A7CA" w14:textId="77777777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Attrition Count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= </w:t>
                            </w:r>
                          </w:p>
                          <w:p w14:paraId="5A52F9A6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CALCULATE(</w:t>
                            </w:r>
                            <w:proofErr w:type="gramEnd"/>
                          </w:p>
                          <w:p w14:paraId="3C404C84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COUNT('Cleaned_Project_Data'[Gender]), </w:t>
                            </w:r>
                          </w:p>
                          <w:p w14:paraId="09C43D6C" w14:textId="77777777" w:rsidR="006B7AFA" w:rsidRPr="006E6D96" w:rsidRDefault="006B7AFA" w:rsidP="006B7AFA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                'Cleaned_Project_Data'[Attrition] = 1</w:t>
                            </w:r>
                          </w:p>
                          <w:p w14:paraId="48750710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9CDECF" w14:textId="77777777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Attrition Rate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DIVIDE(</w:t>
                            </w:r>
                            <w:proofErr w:type="gramEnd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[Attrition Count], [Total Workforce], 0)</w:t>
                            </w:r>
                          </w:p>
                          <w:p w14:paraId="391C778D" w14:textId="77777777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29422D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High Risk Employees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= </w:t>
                            </w:r>
                          </w:p>
                          <w:p w14:paraId="14233996" w14:textId="77777777" w:rsidR="006B7AFA" w:rsidRPr="006E6D96" w:rsidRDefault="006B7AFA" w:rsidP="006B7AFA">
                            <w:pPr>
                              <w:ind w:left="36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CALCULATE(</w:t>
                            </w:r>
                            <w:proofErr w:type="gramEnd"/>
                          </w:p>
                          <w:p w14:paraId="2664EF68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[Total Workforce], </w:t>
                            </w:r>
                          </w:p>
                          <w:p w14:paraId="0941404D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'Cleaned_Project_Data'[Overtime] = "Yes", </w:t>
                            </w:r>
                          </w:p>
                          <w:p w14:paraId="274C8372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'Cleaned_Project_Data'[YearsAtCompany] &lt;= 1</w:t>
                            </w:r>
                          </w:p>
                          <w:p w14:paraId="3D5B6C1B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74F0A6B" w14:textId="77777777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Overtime%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DIVIDE(</w:t>
                            </w:r>
                            <w:proofErr w:type="gramEnd"/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[Overtime Count], [Total Workforce], 0) </w:t>
                            </w:r>
                          </w:p>
                          <w:p w14:paraId="2E4F9712" w14:textId="77777777" w:rsidR="006B7AFA" w:rsidRPr="006E6D96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Avrage Manager Stability =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ROUND(AVERAGE('Cleaned_Project_Data'[YearsWithCurrManager]), 0)</w:t>
                            </w:r>
                          </w:p>
                          <w:p w14:paraId="3E634C1B" w14:textId="77777777" w:rsidR="006B7AFA" w:rsidRDefault="006B7AFA" w:rsidP="006B7AF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6E6D96"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</w:rPr>
                              <w:t>Engagement Index</w:t>
                            </w:r>
                            <w:r w:rsidRPr="006E6D9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= AVERAGE('Cleaned_Project_Data'[Engagement_Index])</w:t>
                            </w:r>
                          </w:p>
                          <w:p w14:paraId="026B74FD" w14:textId="77777777" w:rsidR="006B7AFA" w:rsidRPr="006E6D96" w:rsidRDefault="006B7AFA" w:rsidP="006B7AFA">
                            <w:pPr>
                              <w:ind w:left="72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</w:p>
                          <w:p w14:paraId="3A6C3CE8" w14:textId="77777777" w:rsidR="006B7AFA" w:rsidRDefault="006B7A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FD9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.95pt;width:441pt;height:40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" fillcolor="white [3212]" strokeweight=".5pt">
                <v:textbox>
                  <w:txbxContent>
                    <w:p w14:paraId="3EDB3539" w14:textId="4F25E270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Total Workforce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=  COUNT</w:t>
                      </w:r>
                      <w:proofErr w:type="gramEnd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('Cleaned_Project_Data')</w:t>
                      </w:r>
                      <w:r w:rsidR="00D403BE" w:rsidRPr="00D403B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="00D403BE"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[Gender]</w:t>
                      </w:r>
                    </w:p>
                    <w:p w14:paraId="7A95A7CA" w14:textId="77777777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Attrition Count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= </w:t>
                      </w:r>
                    </w:p>
                    <w:p w14:paraId="5A52F9A6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proofErr w:type="gramStart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CALCULATE(</w:t>
                      </w:r>
                      <w:proofErr w:type="gramEnd"/>
                    </w:p>
                    <w:p w14:paraId="3C404C84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COUNT('Cleaned_Project_Data'[Gender]), </w:t>
                      </w:r>
                    </w:p>
                    <w:p w14:paraId="09C43D6C" w14:textId="77777777" w:rsidR="006B7AFA" w:rsidRPr="006E6D96" w:rsidRDefault="006B7AFA" w:rsidP="006B7AFA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                'Cleaned_Project_Data'[Attrition] = 1</w:t>
                      </w:r>
                    </w:p>
                    <w:p w14:paraId="48750710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)</w:t>
                      </w:r>
                    </w:p>
                    <w:p w14:paraId="4C9CDECF" w14:textId="77777777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Attrition Rate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DIVIDE(</w:t>
                      </w:r>
                      <w:proofErr w:type="gramEnd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[Attrition Count], [Total Workforce], 0)</w:t>
                      </w:r>
                    </w:p>
                    <w:p w14:paraId="391C778D" w14:textId="77777777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29422D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High Risk Employees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= </w:t>
                      </w:r>
                    </w:p>
                    <w:p w14:paraId="14233996" w14:textId="77777777" w:rsidR="006B7AFA" w:rsidRPr="006E6D96" w:rsidRDefault="006B7AFA" w:rsidP="006B7AFA">
                      <w:pPr>
                        <w:ind w:left="36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CALCULATE(</w:t>
                      </w:r>
                      <w:proofErr w:type="gramEnd"/>
                    </w:p>
                    <w:p w14:paraId="2664EF68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[Total Workforce], </w:t>
                      </w:r>
                    </w:p>
                    <w:p w14:paraId="0941404D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'Cleaned_Project_Data'[Overtime] = "Yes", </w:t>
                      </w:r>
                    </w:p>
                    <w:p w14:paraId="274C8372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'Cleaned_Project_Data'[YearsAtCompany] &lt;= 1</w:t>
                      </w:r>
                    </w:p>
                    <w:p w14:paraId="3D5B6C1B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74F0A6B" w14:textId="77777777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Overtime%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DIVIDE(</w:t>
                      </w:r>
                      <w:proofErr w:type="gramEnd"/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[Overtime Count], [Total Workforce], 0) </w:t>
                      </w:r>
                    </w:p>
                    <w:p w14:paraId="2E4F9712" w14:textId="77777777" w:rsidR="006B7AFA" w:rsidRPr="006E6D96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Avrage Manager Stability =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ROUND(AVERAGE('Cleaned_Project_Data'[YearsWithCurrManager]), 0)</w:t>
                      </w:r>
                    </w:p>
                    <w:p w14:paraId="3E634C1B" w14:textId="77777777" w:rsidR="006B7AFA" w:rsidRDefault="006B7AFA" w:rsidP="006B7AFA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6E6D96">
                        <w:rPr>
                          <w:rFonts w:ascii="Segoe UI" w:hAnsi="Segoe UI" w:cs="Segoe UI"/>
                          <w:b/>
                          <w:bCs/>
                          <w:sz w:val="20"/>
                          <w:szCs w:val="20"/>
                        </w:rPr>
                        <w:t>Engagement Index</w:t>
                      </w:r>
                      <w:r w:rsidRPr="006E6D9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= AVERAGE('Cleaned_Project_Data'[Engagement_Index])</w:t>
                      </w:r>
                    </w:p>
                    <w:p w14:paraId="026B74FD" w14:textId="77777777" w:rsidR="006B7AFA" w:rsidRPr="006E6D96" w:rsidRDefault="006B7AFA" w:rsidP="006B7AFA">
                      <w:pPr>
                        <w:ind w:left="72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</w:p>
                    <w:p w14:paraId="3A6C3CE8" w14:textId="77777777" w:rsidR="006B7AFA" w:rsidRDefault="006B7AFA"/>
                  </w:txbxContent>
                </v:textbox>
                <w10:wrap anchorx="margin"/>
              </v:shape>
            </w:pict>
          </mc:Fallback>
        </mc:AlternateContent>
      </w:r>
    </w:p>
    <w:p w14:paraId="78F8614B" w14:textId="32151711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43FD7226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3C9BA469" w14:textId="101C3C95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0B960A42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22B31462" w14:textId="5F7578BB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652A7AE7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583BA09D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090069C7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7CBF8C6C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19252870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5D860728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591651EA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738CF289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45DDF94B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06C00302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26711277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16692571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32FD439B" w14:textId="77777777" w:rsidR="006B7AFA" w:rsidRDefault="006B7AFA" w:rsidP="0097625C">
      <w:pPr>
        <w:rPr>
          <w:rFonts w:ascii="Segoe UI" w:hAnsi="Segoe UI" w:cs="Segoe UI"/>
          <w:sz w:val="20"/>
          <w:szCs w:val="20"/>
        </w:rPr>
      </w:pPr>
    </w:p>
    <w:p w14:paraId="529EA0AA" w14:textId="77777777" w:rsidR="006B7AFA" w:rsidRPr="006E6D96" w:rsidRDefault="006B7AFA" w:rsidP="0097625C">
      <w:pPr>
        <w:rPr>
          <w:rFonts w:ascii="Segoe UI" w:hAnsi="Segoe UI" w:cs="Segoe UI"/>
          <w:sz w:val="20"/>
          <w:szCs w:val="20"/>
        </w:rPr>
      </w:pPr>
    </w:p>
    <w:p w14:paraId="2D0706CE" w14:textId="77777777" w:rsidR="00DE7823" w:rsidRPr="00DE7823" w:rsidRDefault="00DE7823" w:rsidP="00DE7823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</w:p>
    <w:p w14:paraId="28CD4630" w14:textId="365B5124" w:rsidR="002E0AF4" w:rsidRPr="002E0AF4" w:rsidRDefault="00DE7823" w:rsidP="00DE7823">
      <w:pPr>
        <w:rPr>
          <w:rFonts w:ascii="Segoe UI" w:hAnsi="Segoe UI" w:cs="Segoe UI"/>
          <w:b/>
          <w:bCs/>
          <w:sz w:val="20"/>
          <w:szCs w:val="20"/>
        </w:rPr>
      </w:pPr>
      <w:r w:rsidRPr="00DE7823">
        <w:rPr>
          <w:rFonts w:ascii="Segoe UI" w:hAnsi="Segoe UI" w:cs="Segoe UI"/>
          <w:b/>
          <w:bCs/>
          <w:sz w:val="20"/>
          <w:szCs w:val="20"/>
        </w:rPr>
        <w:t>2.Dynamic View: HR Interactive Dashboard</w:t>
      </w:r>
    </w:p>
    <w:p w14:paraId="0EFD23E4" w14:textId="768B4684" w:rsidR="00DE7823" w:rsidRDefault="00BE187B" w:rsidP="0097625C">
      <w:pPr>
        <w:rPr>
          <w:rFonts w:ascii="Segoe UI" w:hAnsi="Segoe UI" w:cs="Segoe UI"/>
          <w:sz w:val="20"/>
          <w:szCs w:val="20"/>
        </w:rPr>
      </w:pPr>
      <w:r>
        <w:rPr>
          <w:noProof/>
        </w:rPr>
        <w:drawing>
          <wp:inline distT="0" distB="0" distL="0" distR="0" wp14:anchorId="581D25E5" wp14:editId="4A5922F0">
            <wp:extent cx="5731510" cy="3399790"/>
            <wp:effectExtent l="0" t="0" r="2540" b="0"/>
            <wp:docPr id="85113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908C" w14:textId="71079CB6" w:rsidR="00DE7823" w:rsidRPr="00DE7823" w:rsidRDefault="00DE7823" w:rsidP="00DE7823">
      <w:pPr>
        <w:rPr>
          <w:rFonts w:ascii="Segoe UI" w:hAnsi="Segoe UI" w:cs="Segoe UI"/>
          <w:sz w:val="20"/>
          <w:szCs w:val="20"/>
        </w:rPr>
      </w:pPr>
    </w:p>
    <w:p w14:paraId="47A3C072" w14:textId="77777777" w:rsidR="00DE7823" w:rsidRDefault="00DE7823" w:rsidP="0097625C">
      <w:pPr>
        <w:rPr>
          <w:rFonts w:ascii="Segoe UI" w:hAnsi="Segoe UI" w:cs="Segoe UI"/>
          <w:sz w:val="20"/>
          <w:szCs w:val="20"/>
        </w:rPr>
      </w:pPr>
    </w:p>
    <w:p w14:paraId="6938826F" w14:textId="5411BD9B" w:rsidR="0097625C" w:rsidRPr="006E6D96" w:rsidRDefault="0097625C" w:rsidP="0097625C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sz w:val="20"/>
          <w:szCs w:val="20"/>
        </w:rPr>
        <w:t xml:space="preserve">This layer is designed for </w:t>
      </w:r>
      <w:r w:rsidRPr="006E6D96">
        <w:rPr>
          <w:rFonts w:ascii="Segoe UI" w:hAnsi="Segoe UI" w:cs="Segoe UI"/>
          <w:b/>
          <w:bCs/>
          <w:sz w:val="20"/>
          <w:szCs w:val="20"/>
        </w:rPr>
        <w:t>HR Policy Makers</w:t>
      </w:r>
      <w:r w:rsidRPr="006E6D96">
        <w:rPr>
          <w:rFonts w:ascii="Segoe UI" w:hAnsi="Segoe UI" w:cs="Segoe UI"/>
          <w:sz w:val="20"/>
          <w:szCs w:val="20"/>
        </w:rPr>
        <w:t xml:space="preserve"> to filter and explore data using interactive slicers (Department/Gender).</w:t>
      </w:r>
    </w:p>
    <w:p w14:paraId="37F0D7BB" w14:textId="77777777" w:rsidR="0097625C" w:rsidRPr="006E6D96" w:rsidRDefault="0097625C" w:rsidP="0097625C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KPI Cards:</w:t>
      </w:r>
      <w:r w:rsidRPr="006E6D96">
        <w:rPr>
          <w:rFonts w:ascii="Segoe UI" w:hAnsi="Segoe UI" w:cs="Segoe UI"/>
          <w:sz w:val="20"/>
          <w:szCs w:val="20"/>
        </w:rPr>
        <w:t xml:space="preserve"> Real-time tracking of Workforce, Burnout Risk, and Attrition %.</w:t>
      </w:r>
    </w:p>
    <w:p w14:paraId="2D9100FE" w14:textId="74C35162" w:rsidR="0097625C" w:rsidRPr="006E6D96" w:rsidRDefault="0097625C" w:rsidP="0097625C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Predictive Gauge Chart:</w:t>
      </w:r>
      <w:r w:rsidRPr="006E6D96">
        <w:rPr>
          <w:rFonts w:ascii="Segoe UI" w:hAnsi="Segoe UI" w:cs="Segoe UI"/>
          <w:sz w:val="20"/>
          <w:szCs w:val="20"/>
        </w:rPr>
        <w:t xml:space="preserve"> Displays the </w:t>
      </w:r>
      <w:r w:rsidRPr="006E6D96">
        <w:rPr>
          <w:rFonts w:ascii="Segoe UI" w:hAnsi="Segoe UI" w:cs="Segoe UI"/>
          <w:b/>
          <w:bCs/>
          <w:sz w:val="20"/>
          <w:szCs w:val="20"/>
        </w:rPr>
        <w:t>Engagement Level (Score: 2.72/4.00)</w:t>
      </w:r>
      <w:r w:rsidRPr="006E6D96">
        <w:rPr>
          <w:rFonts w:ascii="Segoe UI" w:hAnsi="Segoe UI" w:cs="Segoe UI"/>
          <w:sz w:val="20"/>
          <w:szCs w:val="20"/>
        </w:rPr>
        <w:t xml:space="preserve">. The </w:t>
      </w:r>
      <w:r w:rsidRPr="006E6D96">
        <w:rPr>
          <w:rFonts w:ascii="Segoe UI" w:hAnsi="Segoe UI" w:cs="Segoe UI"/>
          <w:b/>
          <w:bCs/>
          <w:sz w:val="20"/>
          <w:szCs w:val="20"/>
        </w:rPr>
        <w:t>Ma</w:t>
      </w:r>
      <w:r w:rsidR="00416DFA">
        <w:rPr>
          <w:rFonts w:ascii="Segoe UI" w:hAnsi="Segoe UI" w:cs="Segoe UI"/>
          <w:b/>
          <w:bCs/>
          <w:sz w:val="20"/>
          <w:szCs w:val="20"/>
        </w:rPr>
        <w:t>roon</w:t>
      </w:r>
      <w:r w:rsidRPr="006E6D96">
        <w:rPr>
          <w:rFonts w:ascii="Segoe UI" w:hAnsi="Segoe UI" w:cs="Segoe UI"/>
          <w:sz w:val="20"/>
          <w:szCs w:val="20"/>
        </w:rPr>
        <w:t xml:space="preserve"> indicator warns that employees are in a "Caution Zone," needing immediate support.</w:t>
      </w:r>
    </w:p>
    <w:p w14:paraId="2EDFE4DE" w14:textId="77777777" w:rsidR="0097625C" w:rsidRPr="006E6D96" w:rsidRDefault="0097625C" w:rsidP="0097625C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Scatter Chart Analysis:</w:t>
      </w:r>
      <w:r w:rsidRPr="006E6D96">
        <w:rPr>
          <w:rFonts w:ascii="Segoe UI" w:hAnsi="Segoe UI" w:cs="Segoe UI"/>
          <w:sz w:val="20"/>
          <w:szCs w:val="20"/>
        </w:rPr>
        <w:t xml:space="preserve"> Correlates Job Satisfaction with Monthly Income, filtered by Job Role.</w:t>
      </w:r>
    </w:p>
    <w:p w14:paraId="5E5BF542" w14:textId="77777777" w:rsidR="0097625C" w:rsidRPr="006E6D96" w:rsidRDefault="0097625C" w:rsidP="0097625C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Matrix Table:</w:t>
      </w:r>
      <w:r w:rsidRPr="006E6D96">
        <w:rPr>
          <w:rFonts w:ascii="Segoe UI" w:hAnsi="Segoe UI" w:cs="Segoe UI"/>
          <w:sz w:val="20"/>
          <w:szCs w:val="20"/>
        </w:rPr>
        <w:t xml:space="preserve"> Provides a deep dive into Attrition by comparing Job Roles against Performance Ratings.</w:t>
      </w:r>
    </w:p>
    <w:p w14:paraId="08DCD24D" w14:textId="39EEA57E" w:rsidR="0097625C" w:rsidRPr="006E6D96" w:rsidRDefault="0097625C" w:rsidP="0097625C">
      <w:pPr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User Experience:</w:t>
      </w:r>
      <w:r w:rsidRPr="006E6D96">
        <w:rPr>
          <w:rFonts w:ascii="Segoe UI" w:hAnsi="Segoe UI" w:cs="Segoe UI"/>
          <w:sz w:val="20"/>
          <w:szCs w:val="20"/>
        </w:rPr>
        <w:t xml:space="preserve"> Includes a </w:t>
      </w:r>
      <w:r w:rsidRPr="006E6D96">
        <w:rPr>
          <w:rFonts w:ascii="Segoe UI" w:hAnsi="Segoe UI" w:cs="Segoe UI"/>
          <w:b/>
          <w:bCs/>
          <w:sz w:val="20"/>
          <w:szCs w:val="20"/>
        </w:rPr>
        <w:t>Page Navigator</w:t>
      </w:r>
      <w:r w:rsidRPr="006E6D96">
        <w:rPr>
          <w:rFonts w:ascii="Segoe UI" w:hAnsi="Segoe UI" w:cs="Segoe UI"/>
          <w:sz w:val="20"/>
          <w:szCs w:val="20"/>
        </w:rPr>
        <w:t xml:space="preserve"> and a </w:t>
      </w:r>
      <w:r w:rsidRPr="006E6D96">
        <w:rPr>
          <w:rFonts w:ascii="Segoe UI" w:hAnsi="Segoe UI" w:cs="Segoe UI"/>
          <w:b/>
          <w:bCs/>
          <w:sz w:val="20"/>
          <w:szCs w:val="20"/>
        </w:rPr>
        <w:t>"</w:t>
      </w:r>
      <w:r w:rsidR="00F10398">
        <w:rPr>
          <w:rFonts w:ascii="Segoe UI" w:hAnsi="Segoe UI" w:cs="Segoe UI"/>
          <w:b/>
          <w:bCs/>
          <w:sz w:val="20"/>
          <w:szCs w:val="20"/>
        </w:rPr>
        <w:t>Reset</w:t>
      </w:r>
      <w:r w:rsidRPr="006E6D96">
        <w:rPr>
          <w:rFonts w:ascii="Segoe UI" w:hAnsi="Segoe UI" w:cs="Segoe UI"/>
          <w:b/>
          <w:bCs/>
          <w:sz w:val="20"/>
          <w:szCs w:val="20"/>
        </w:rPr>
        <w:t>" Bookmark Button</w:t>
      </w:r>
      <w:r w:rsidRPr="006E6D96">
        <w:rPr>
          <w:rFonts w:ascii="Segoe UI" w:hAnsi="Segoe UI" w:cs="Segoe UI"/>
          <w:sz w:val="20"/>
          <w:szCs w:val="20"/>
        </w:rPr>
        <w:t xml:space="preserve"> for seamless navigation.</w:t>
      </w:r>
    </w:p>
    <w:p w14:paraId="1A7C87FA" w14:textId="77777777" w:rsidR="0097625C" w:rsidRPr="006E6D96" w:rsidRDefault="00000000" w:rsidP="0097625C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27EAA854">
          <v:rect id="_x0000_i1027" style="width:0;height:1.5pt" o:hralign="center" o:hrstd="t" o:hr="t" fillcolor="#a0a0a0" stroked="f"/>
        </w:pict>
      </w:r>
    </w:p>
    <w:p w14:paraId="3679378B" w14:textId="77777777" w:rsidR="0097625C" w:rsidRPr="006E6D96" w:rsidRDefault="0097625C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3. Static View: Advanced Python Diagnostics</w:t>
      </w:r>
    </w:p>
    <w:p w14:paraId="6354B266" w14:textId="034FEB57" w:rsidR="0097625C" w:rsidRPr="006E6D96" w:rsidRDefault="0097625C" w:rsidP="0097625C">
      <w:p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sz w:val="20"/>
          <w:szCs w:val="20"/>
        </w:rPr>
        <w:t xml:space="preserve">For deep statistical </w:t>
      </w:r>
      <w:proofErr w:type="gramStart"/>
      <w:r w:rsidRPr="006E6D96">
        <w:rPr>
          <w:rFonts w:ascii="Segoe UI" w:hAnsi="Segoe UI" w:cs="Segoe UI"/>
          <w:sz w:val="20"/>
          <w:szCs w:val="20"/>
        </w:rPr>
        <w:t>insights,  integrated</w:t>
      </w:r>
      <w:proofErr w:type="gramEnd"/>
      <w:r w:rsidRPr="006E6D96">
        <w:rPr>
          <w:rFonts w:ascii="Segoe UI" w:hAnsi="Segoe UI" w:cs="Segoe UI"/>
          <w:sz w:val="20"/>
          <w:szCs w:val="20"/>
        </w:rPr>
        <w:t xml:space="preserve"> Python (Seaborn/Matplotlib) to create "Static Deep-Dives" that do not change with simple filters but show organizational-wide trends.</w:t>
      </w:r>
    </w:p>
    <w:p w14:paraId="434CEA44" w14:textId="77777777" w:rsidR="0097625C" w:rsidRPr="006E6D96" w:rsidRDefault="0097625C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A. Compensation Analysis (Box Plots)</w:t>
      </w:r>
    </w:p>
    <w:p w14:paraId="78C40C2A" w14:textId="77777777" w:rsidR="0097625C" w:rsidRPr="006E6D96" w:rsidRDefault="0097625C" w:rsidP="0097625C">
      <w:pPr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lastRenderedPageBreak/>
        <w:t>Key Finding:</w:t>
      </w:r>
      <w:r w:rsidRPr="006E6D96">
        <w:rPr>
          <w:rFonts w:ascii="Segoe UI" w:hAnsi="Segoe UI" w:cs="Segoe UI"/>
          <w:sz w:val="20"/>
          <w:szCs w:val="20"/>
        </w:rPr>
        <w:t xml:space="preserve"> Salary is a "floor" for entry-level roles (Sales/Lab Tech). Attrition happens even when pay is competitive, pointing to high work pressure.</w:t>
      </w:r>
    </w:p>
    <w:p w14:paraId="1413A2D1" w14:textId="2F87CA92" w:rsidR="0097625C" w:rsidRPr="006E6D96" w:rsidRDefault="0097625C" w:rsidP="0097625C">
      <w:pPr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Senior Roles:</w:t>
      </w:r>
      <w:r w:rsidRPr="006E6D96">
        <w:rPr>
          <w:rFonts w:ascii="Segoe UI" w:hAnsi="Segoe UI" w:cs="Segoe UI"/>
          <w:sz w:val="20"/>
          <w:szCs w:val="20"/>
        </w:rPr>
        <w:t xml:space="preserve"> Managers and Research Directors show high stability, but attrition at their level ($15k-$20k) suggests burnout or lack of work-life balance.</w:t>
      </w:r>
    </w:p>
    <w:p w14:paraId="5059F3A2" w14:textId="36958602" w:rsidR="0097625C" w:rsidRPr="006E6D96" w:rsidRDefault="0097625C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B. Workforce Stability (KDE Density Graph)</w:t>
      </w:r>
    </w:p>
    <w:p w14:paraId="25E4612C" w14:textId="4A287A7C" w:rsidR="0097625C" w:rsidRPr="006E6D96" w:rsidRDefault="0097625C" w:rsidP="0097625C">
      <w:pPr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The Early Career Risk:</w:t>
      </w:r>
      <w:r w:rsidRPr="006E6D96">
        <w:rPr>
          <w:rFonts w:ascii="Segoe UI" w:hAnsi="Segoe UI" w:cs="Segoe UI"/>
          <w:sz w:val="20"/>
          <w:szCs w:val="20"/>
        </w:rPr>
        <w:t xml:space="preserve"> The highest density of attrition is in the </w:t>
      </w:r>
      <w:r w:rsidRPr="006E6D96">
        <w:rPr>
          <w:rFonts w:ascii="Segoe UI" w:hAnsi="Segoe UI" w:cs="Segoe UI"/>
          <w:b/>
          <w:bCs/>
          <w:sz w:val="20"/>
          <w:szCs w:val="20"/>
        </w:rPr>
        <w:t>20-30 age group</w:t>
      </w:r>
      <w:r w:rsidRPr="006E6D96">
        <w:rPr>
          <w:rFonts w:ascii="Segoe UI" w:hAnsi="Segoe UI" w:cs="Segoe UI"/>
          <w:sz w:val="20"/>
          <w:szCs w:val="20"/>
        </w:rPr>
        <w:t xml:space="preserve"> with &lt;10 years of experience.</w:t>
      </w:r>
    </w:p>
    <w:p w14:paraId="4570AE39" w14:textId="203E33A7" w:rsidR="0097625C" w:rsidRPr="006E6D96" w:rsidRDefault="0097625C" w:rsidP="0097625C">
      <w:pPr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The Stability Backbone:</w:t>
      </w:r>
      <w:r w:rsidRPr="006E6D96">
        <w:rPr>
          <w:rFonts w:ascii="Segoe UI" w:hAnsi="Segoe UI" w:cs="Segoe UI"/>
          <w:sz w:val="20"/>
          <w:szCs w:val="20"/>
        </w:rPr>
        <w:t xml:space="preserve"> Employees aged </w:t>
      </w:r>
      <w:r w:rsidRPr="006E6D96">
        <w:rPr>
          <w:rFonts w:ascii="Segoe UI" w:hAnsi="Segoe UI" w:cs="Segoe UI"/>
          <w:b/>
          <w:bCs/>
          <w:sz w:val="20"/>
          <w:szCs w:val="20"/>
        </w:rPr>
        <w:t>35-50</w:t>
      </w:r>
      <w:r w:rsidRPr="006E6D96">
        <w:rPr>
          <w:rFonts w:ascii="Segoe UI" w:hAnsi="Segoe UI" w:cs="Segoe UI"/>
          <w:sz w:val="20"/>
          <w:szCs w:val="20"/>
        </w:rPr>
        <w:t xml:space="preserve"> are the most stable and loyal segment.</w:t>
      </w:r>
    </w:p>
    <w:p w14:paraId="0ED8A75D" w14:textId="0BC40B52" w:rsidR="0097625C" w:rsidRPr="006E6D96" w:rsidRDefault="0097625C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C. Correlation Heatmap</w:t>
      </w:r>
    </w:p>
    <w:p w14:paraId="2899486B" w14:textId="3F7423E6" w:rsidR="0097625C" w:rsidRPr="006E6D96" w:rsidRDefault="0097625C" w:rsidP="0097625C">
      <w:pPr>
        <w:numPr>
          <w:ilvl w:val="0"/>
          <w:numId w:val="5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Strongest Correlation (0.77):</w:t>
      </w:r>
      <w:r w:rsidRPr="006E6D96">
        <w:rPr>
          <w:rFonts w:ascii="Segoe UI" w:hAnsi="Segoe UI" w:cs="Segoe UI"/>
          <w:sz w:val="20"/>
          <w:szCs w:val="20"/>
        </w:rPr>
        <w:t xml:space="preserve"> Between Total Working Years and Monthly Income.</w:t>
      </w:r>
    </w:p>
    <w:p w14:paraId="1B7BFC1A" w14:textId="31582A93" w:rsidR="0097625C" w:rsidRPr="006E6D96" w:rsidRDefault="0097625C" w:rsidP="0097625C">
      <w:pPr>
        <w:numPr>
          <w:ilvl w:val="0"/>
          <w:numId w:val="5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The Satisfaction Paradox:</w:t>
      </w:r>
      <w:r w:rsidRPr="006E6D96">
        <w:rPr>
          <w:rFonts w:ascii="Segoe UI" w:hAnsi="Segoe UI" w:cs="Segoe UI"/>
          <w:sz w:val="20"/>
          <w:szCs w:val="20"/>
        </w:rPr>
        <w:t xml:space="preserve"> Correlation between Income and Job Satisfaction is </w:t>
      </w:r>
      <w:r w:rsidRPr="006E6D96">
        <w:rPr>
          <w:rFonts w:ascii="Segoe UI" w:hAnsi="Segoe UI" w:cs="Segoe UI"/>
          <w:b/>
          <w:bCs/>
          <w:sz w:val="20"/>
          <w:szCs w:val="20"/>
        </w:rPr>
        <w:t>0.00</w:t>
      </w:r>
      <w:r w:rsidRPr="006E6D96">
        <w:rPr>
          <w:rFonts w:ascii="Segoe UI" w:hAnsi="Segoe UI" w:cs="Segoe UI"/>
          <w:sz w:val="20"/>
          <w:szCs w:val="20"/>
        </w:rPr>
        <w:t>. This scientifically proves that increasing salary alone will not fix low engagement.</w:t>
      </w:r>
    </w:p>
    <w:p w14:paraId="7E833301" w14:textId="22603229" w:rsidR="0097625C" w:rsidRPr="006E6D96" w:rsidRDefault="00000000" w:rsidP="0097625C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70485C41">
          <v:rect id="_x0000_i1028" style="width:0;height:1.5pt" o:hralign="center" o:hrstd="t" o:hr="t" fillcolor="#a0a0a0" stroked="f"/>
        </w:pict>
      </w:r>
    </w:p>
    <w:p w14:paraId="0D04FDFC" w14:textId="77777777" w:rsidR="00BC6DAF" w:rsidRDefault="00BC6DAF" w:rsidP="0097625C">
      <w:pPr>
        <w:rPr>
          <w:rFonts w:ascii="Segoe UI" w:hAnsi="Segoe UI" w:cs="Segoe UI"/>
          <w:b/>
          <w:bCs/>
          <w:sz w:val="20"/>
          <w:szCs w:val="20"/>
        </w:rPr>
      </w:pPr>
    </w:p>
    <w:p w14:paraId="0A48AB19" w14:textId="17540308" w:rsidR="0097625C" w:rsidRPr="006E6D96" w:rsidRDefault="0097625C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4. Strategic Evaluation (Findings)</w:t>
      </w:r>
    </w:p>
    <w:p w14:paraId="20D889C4" w14:textId="3C506948" w:rsidR="0097625C" w:rsidRPr="006E6D96" w:rsidRDefault="0097625C" w:rsidP="0097625C">
      <w:pPr>
        <w:numPr>
          <w:ilvl w:val="0"/>
          <w:numId w:val="6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The Gender Gap:</w:t>
      </w:r>
      <w:r w:rsidRPr="006E6D96">
        <w:rPr>
          <w:rFonts w:ascii="Segoe UI" w:hAnsi="Segoe UI" w:cs="Segoe UI"/>
          <w:sz w:val="20"/>
          <w:szCs w:val="20"/>
        </w:rPr>
        <w:t xml:space="preserve"> Analysis revealed a </w:t>
      </w:r>
      <w:r w:rsidRPr="006E6D96">
        <w:rPr>
          <w:rFonts w:ascii="Segoe UI" w:hAnsi="Segoe UI" w:cs="Segoe UI"/>
          <w:b/>
          <w:bCs/>
          <w:sz w:val="20"/>
          <w:szCs w:val="20"/>
        </w:rPr>
        <w:t>30% attrition rate among female staff in HR</w:t>
      </w:r>
      <w:r w:rsidRPr="006E6D96">
        <w:rPr>
          <w:rFonts w:ascii="Segoe UI" w:hAnsi="Segoe UI" w:cs="Segoe UI"/>
          <w:sz w:val="20"/>
          <w:szCs w:val="20"/>
        </w:rPr>
        <w:t>, requiring immediate attention.</w:t>
      </w:r>
    </w:p>
    <w:p w14:paraId="2E29FA13" w14:textId="728D942A" w:rsidR="0097625C" w:rsidRPr="006E6D96" w:rsidRDefault="0097625C" w:rsidP="0097625C">
      <w:pPr>
        <w:numPr>
          <w:ilvl w:val="0"/>
          <w:numId w:val="6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Burnout Prediction:</w:t>
      </w:r>
      <w:r w:rsidRPr="006E6D96">
        <w:rPr>
          <w:rFonts w:ascii="Segoe UI" w:hAnsi="Segoe UI" w:cs="Segoe UI"/>
          <w:sz w:val="20"/>
          <w:szCs w:val="20"/>
        </w:rPr>
        <w:t xml:space="preserve"> Using </w:t>
      </w:r>
      <w:r w:rsidRPr="006E6D96">
        <w:rPr>
          <w:rFonts w:ascii="Segoe UI" w:hAnsi="Segoe UI" w:cs="Segoe UI"/>
          <w:b/>
          <w:bCs/>
          <w:sz w:val="20"/>
          <w:szCs w:val="20"/>
        </w:rPr>
        <w:t>Linear Regression</w:t>
      </w:r>
      <w:r w:rsidRPr="006E6D96">
        <w:rPr>
          <w:rFonts w:ascii="Segoe UI" w:hAnsi="Segoe UI" w:cs="Segoe UI"/>
          <w:sz w:val="20"/>
          <w:szCs w:val="20"/>
        </w:rPr>
        <w:t xml:space="preserve">, </w:t>
      </w:r>
      <w:r w:rsidR="00B302C6" w:rsidRPr="006E6D96">
        <w:rPr>
          <w:rFonts w:ascii="Segoe UI" w:hAnsi="Segoe UI" w:cs="Segoe UI"/>
          <w:sz w:val="20"/>
          <w:szCs w:val="20"/>
        </w:rPr>
        <w:t>I</w:t>
      </w:r>
      <w:r w:rsidRPr="006E6D96">
        <w:rPr>
          <w:rFonts w:ascii="Segoe UI" w:hAnsi="Segoe UI" w:cs="Segoe UI"/>
          <w:sz w:val="20"/>
          <w:szCs w:val="20"/>
        </w:rPr>
        <w:t xml:space="preserve"> found that </w:t>
      </w:r>
      <w:r w:rsidRPr="006E6D96">
        <w:rPr>
          <w:rFonts w:ascii="Segoe UI" w:hAnsi="Segoe UI" w:cs="Segoe UI"/>
          <w:b/>
          <w:bCs/>
          <w:sz w:val="20"/>
          <w:szCs w:val="20"/>
        </w:rPr>
        <w:t>Work-Life Balance</w:t>
      </w:r>
      <w:r w:rsidRPr="006E6D96">
        <w:rPr>
          <w:rFonts w:ascii="Segoe UI" w:hAnsi="Segoe UI" w:cs="Segoe UI"/>
          <w:sz w:val="20"/>
          <w:szCs w:val="20"/>
        </w:rPr>
        <w:t xml:space="preserve"> is a more consistent driver of engagement than Monthly Income.</w:t>
      </w:r>
    </w:p>
    <w:p w14:paraId="460D8BC1" w14:textId="3192F3A8" w:rsidR="00891324" w:rsidRPr="006E6D96" w:rsidRDefault="0097625C" w:rsidP="00C03894">
      <w:pPr>
        <w:numPr>
          <w:ilvl w:val="0"/>
          <w:numId w:val="6"/>
        </w:numPr>
        <w:rPr>
          <w:rFonts w:ascii="Segoe UI" w:hAnsi="Segoe UI" w:cs="Segoe UI"/>
          <w:sz w:val="20"/>
          <w:szCs w:val="20"/>
        </w:rPr>
      </w:pPr>
      <w:r w:rsidRPr="006E6D96">
        <w:rPr>
          <w:rFonts w:ascii="Segoe UI" w:hAnsi="Segoe UI" w:cs="Segoe UI"/>
          <w:b/>
          <w:bCs/>
          <w:sz w:val="20"/>
          <w:szCs w:val="20"/>
        </w:rPr>
        <w:t>R&amp;D vs. Sales:</w:t>
      </w:r>
      <w:r w:rsidRPr="006E6D96">
        <w:rPr>
          <w:rFonts w:ascii="Segoe UI" w:hAnsi="Segoe UI" w:cs="Segoe UI"/>
          <w:sz w:val="20"/>
          <w:szCs w:val="20"/>
        </w:rPr>
        <w:t xml:space="preserve"> R&amp;D remains the most stable anchor, while Sales shows the highest volatility due to workload intensity.</w:t>
      </w:r>
    </w:p>
    <w:p w14:paraId="6F054677" w14:textId="5F36BBF1" w:rsidR="00322BE2" w:rsidRDefault="00C03894" w:rsidP="00322B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22BE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Observation: Absence of Peak Engagement (The 3.5+ Threshold):</w:t>
      </w:r>
      <w:r w:rsidRPr="00322BE2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During the diagnostic phase, it was observed that the Engagement Score remained stagnant in the </w:t>
      </w:r>
      <w:r w:rsidRPr="00322BE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Ma</w:t>
      </w:r>
      <w:r w:rsidR="00B30B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roon</w:t>
      </w:r>
      <w:r w:rsidRPr="00322BE2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Zone (2.2 – 2.9)</w:t>
      </w:r>
      <w:r w:rsidRPr="00322BE2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across all departments, including high-stability areas like R&amp;D. Not a single </w:t>
      </w:r>
      <w:r w:rsidR="00322BE2" w:rsidRPr="006E6D9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department or demographic segment reached the </w:t>
      </w:r>
      <w:r w:rsidR="00322BE2" w:rsidRPr="006E6D9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Green Zone (3.5 – 4.0)</w:t>
      </w:r>
      <w:r w:rsidR="00322BE2" w:rsidRPr="006E6D9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2B2AAAD5" w14:textId="06EE8414" w:rsidR="0097478C" w:rsidRPr="0097478C" w:rsidRDefault="0097478C" w:rsidP="00A6396D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27265908" w14:textId="074DB415" w:rsidR="00B45DB4" w:rsidRDefault="00B45DB4" w:rsidP="00BC6DAF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0AAA54B" wp14:editId="0EE23A05">
            <wp:simplePos x="0" y="0"/>
            <wp:positionH relativeFrom="column">
              <wp:posOffset>672071</wp:posOffset>
            </wp:positionH>
            <wp:positionV relativeFrom="paragraph">
              <wp:posOffset>221899</wp:posOffset>
            </wp:positionV>
            <wp:extent cx="4466831" cy="2085314"/>
            <wp:effectExtent l="0" t="0" r="0" b="0"/>
            <wp:wrapTopAndBottom/>
            <wp:docPr id="19999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87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831" cy="208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9766F" w14:textId="07B43372" w:rsidR="00A420D7" w:rsidRPr="00FE40C2" w:rsidRDefault="00A420D7" w:rsidP="00A420D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F2A66">
        <w:rPr>
          <w:rFonts w:ascii="Segoe UI" w:hAnsi="Segoe UI" w:cs="Segoe UI"/>
          <w:b/>
          <w:bCs/>
          <w:sz w:val="20"/>
          <w:szCs w:val="20"/>
        </w:rPr>
        <w:lastRenderedPageBreak/>
        <w:t>Key Insight:</w:t>
      </w:r>
      <w:r w:rsidRPr="00B6177F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FE40C2">
        <w:rPr>
          <w:rFonts w:ascii="Segoe UI" w:hAnsi="Segoe UI" w:cs="Segoe UI"/>
          <w:i/>
          <w:iCs/>
          <w:sz w:val="20"/>
          <w:szCs w:val="20"/>
        </w:rPr>
        <w:t>"I observed that even after applying various departmental filters, the Engagement Gauge consistently remains outside the 'Green Zone.' This indicates that low engagement is not an isolated departmental issue but rather a systemic, organization-wide cultural challenge that requires a holistic intervention."</w:t>
      </w:r>
    </w:p>
    <w:p w14:paraId="638AE4AE" w14:textId="77A382DF" w:rsidR="00891324" w:rsidRPr="002F2A66" w:rsidRDefault="00891324" w:rsidP="00C03894">
      <w:pPr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F2A6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Technical Implications:</w:t>
      </w:r>
    </w:p>
    <w:p w14:paraId="6273C7DE" w14:textId="36469DA8" w:rsidR="00891324" w:rsidRPr="002F2A66" w:rsidRDefault="00891324" w:rsidP="00891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F2A6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Systemic Burnout: </w:t>
      </w:r>
      <w:r w:rsidRPr="002F2A6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This confirms that low engagement is not a departmental issue but an organizational one.</w:t>
      </w:r>
    </w:p>
    <w:p w14:paraId="0EC775A1" w14:textId="6B55770D" w:rsidR="00891324" w:rsidRPr="002F2A66" w:rsidRDefault="00891324" w:rsidP="00891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F2A6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Predictive Warning: </w:t>
      </w:r>
      <w:r w:rsidRPr="002F2A6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model suggests that the workforce is currently in a "Survival Mode"—employees are completing tasks (productivity) but are emotionally and mentally disconnected from the organization.</w:t>
      </w:r>
    </w:p>
    <w:p w14:paraId="7947BE15" w14:textId="6DE72BC6" w:rsidR="00891324" w:rsidRPr="002F2A66" w:rsidRDefault="00A420D7" w:rsidP="005E0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F2A6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The Motivation Barrier:</w:t>
      </w:r>
      <w:r w:rsidR="00891324" w:rsidRPr="002F2A66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891324" w:rsidRPr="002F2A6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Without immediate policy intervention, the current culture acts as a "ceiling," preventing even top performers from reaching peak motivation level</w:t>
      </w:r>
      <w:r w:rsidR="005E0E2F" w:rsidRPr="002F2A66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01FC364F" w14:textId="77777777" w:rsidR="0097625C" w:rsidRPr="005C0F73" w:rsidRDefault="00000000" w:rsidP="0097625C">
      <w:pPr>
        <w:rPr>
          <w:rFonts w:ascii="Segoe UI" w:hAnsi="Segoe UI" w:cs="Segoe UI"/>
          <w:b/>
          <w:bCs/>
          <w:sz w:val="20"/>
          <w:szCs w:val="20"/>
        </w:rPr>
      </w:pPr>
      <w:r w:rsidRPr="002F2A66">
        <w:rPr>
          <w:rFonts w:ascii="Segoe UI" w:hAnsi="Segoe UI" w:cs="Segoe UI"/>
          <w:sz w:val="20"/>
          <w:szCs w:val="20"/>
        </w:rPr>
        <w:pict w14:anchorId="23081D3B">
          <v:rect id="_x0000_i1029" style="width:0;height:1.5pt" o:hralign="center" o:hrstd="t" o:hr="t" fillcolor="#a0a0a0" stroked="f"/>
        </w:pict>
      </w:r>
    </w:p>
    <w:p w14:paraId="29F898E5" w14:textId="77777777" w:rsidR="001668C9" w:rsidRPr="003A075D" w:rsidRDefault="001668C9" w:rsidP="001668C9">
      <w:pPr>
        <w:rPr>
          <w:rFonts w:ascii="Segoe UI" w:hAnsi="Segoe UI" w:cs="Segoe UI"/>
          <w:b/>
          <w:bCs/>
          <w:sz w:val="28"/>
          <w:szCs w:val="28"/>
        </w:rPr>
      </w:pPr>
      <w:r w:rsidRPr="003A075D">
        <w:rPr>
          <w:rFonts w:ascii="Segoe UI" w:hAnsi="Segoe UI" w:cs="Segoe UI"/>
          <w:b/>
          <w:bCs/>
          <w:sz w:val="28"/>
          <w:szCs w:val="28"/>
        </w:rPr>
        <w:t>5. Executive Summary (For Strategic Leadership)</w:t>
      </w:r>
    </w:p>
    <w:p w14:paraId="410E4822" w14:textId="77777777" w:rsidR="001668C9" w:rsidRPr="003A075D" w:rsidRDefault="001668C9" w:rsidP="001668C9">
      <w:pPr>
        <w:rPr>
          <w:rFonts w:ascii="Segoe UI" w:hAnsi="Segoe UI" w:cs="Segoe UI"/>
          <w:b/>
          <w:bCs/>
          <w:i/>
          <w:iCs/>
          <w:sz w:val="24"/>
          <w:szCs w:val="24"/>
        </w:rPr>
      </w:pPr>
      <w:r w:rsidRPr="003A075D">
        <w:rPr>
          <w:rFonts w:ascii="Segoe UI" w:hAnsi="Segoe UI" w:cs="Segoe UI"/>
          <w:b/>
          <w:bCs/>
          <w:i/>
          <w:iCs/>
          <w:sz w:val="24"/>
          <w:szCs w:val="24"/>
        </w:rPr>
        <w:t>Target: Strategic Leadership &amp; HR Policy Makers</w:t>
      </w:r>
    </w:p>
    <w:p w14:paraId="5BF20A01" w14:textId="31CD5A60" w:rsidR="001668C9" w:rsidRPr="00D80A8F" w:rsidRDefault="001668C9" w:rsidP="001668C9">
      <w:pPr>
        <w:rPr>
          <w:rFonts w:ascii="Segoe UI" w:hAnsi="Segoe UI" w:cs="Segoe UI"/>
          <w:b/>
          <w:bCs/>
          <w:color w:val="BF4E14" w:themeColor="accent2" w:themeShade="BF"/>
        </w:rPr>
      </w:pPr>
      <w:r w:rsidRPr="00D80A8F">
        <w:rPr>
          <w:rFonts w:ascii="Segoe UI" w:hAnsi="Segoe UI" w:cs="Segoe UI"/>
          <w:b/>
          <w:bCs/>
          <w:color w:val="BF4E14" w:themeColor="accent2" w:themeShade="BF"/>
        </w:rPr>
        <w:t>The Challenge (The Problem)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</w:rPr>
        <w:t>:</w:t>
      </w:r>
    </w:p>
    <w:p w14:paraId="6F76B768" w14:textId="6C98F61B" w:rsidR="001668C9" w:rsidRPr="00D80A8F" w:rsidRDefault="001668C9" w:rsidP="001668C9">
      <w:pPr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</w:pP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Palo Alto Networks currently operates on a 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“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Reactive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”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 HR model—focusing on attrition only after an employee resigns. In the high-pressure Cybersecurity industry, 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“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Burnout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”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 and 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“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Disengagement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”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 begin long before the actual resignation. </w:t>
      </w:r>
      <w:r w:rsidR="00247D57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Their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 current systems lack the 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“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Early Warning Signals</w:t>
      </w:r>
      <w:r w:rsidR="009F17A2"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>”</w:t>
      </w:r>
      <w:r w:rsidRPr="00D80A8F">
        <w:rPr>
          <w:rFonts w:ascii="Segoe UI" w:hAnsi="Segoe UI" w:cs="Segoe UI"/>
          <w:b/>
          <w:bCs/>
          <w:color w:val="BF4E14" w:themeColor="accent2" w:themeShade="BF"/>
          <w:sz w:val="20"/>
          <w:szCs w:val="20"/>
        </w:rPr>
        <w:t xml:space="preserve"> needed to detect these invisible risks.</w:t>
      </w:r>
    </w:p>
    <w:p w14:paraId="3866F1F7" w14:textId="2E10E5A6" w:rsidR="001668C9" w:rsidRPr="00BC512A" w:rsidRDefault="001668C9" w:rsidP="001668C9">
      <w:pPr>
        <w:rPr>
          <w:rFonts w:ascii="Segoe UI" w:hAnsi="Segoe UI" w:cs="Segoe UI"/>
          <w:b/>
          <w:bCs/>
        </w:rPr>
      </w:pPr>
      <w:r w:rsidRPr="00BC512A">
        <w:rPr>
          <w:rFonts w:ascii="Segoe UI" w:hAnsi="Segoe UI" w:cs="Segoe UI"/>
          <w:b/>
          <w:bCs/>
        </w:rPr>
        <w:t>The Solution (</w:t>
      </w:r>
      <w:r w:rsidR="009F17A2" w:rsidRPr="00BC512A">
        <w:rPr>
          <w:rFonts w:ascii="Segoe UI" w:hAnsi="Segoe UI" w:cs="Segoe UI"/>
          <w:b/>
          <w:bCs/>
        </w:rPr>
        <w:t>Predictive Modeling</w:t>
      </w:r>
      <w:r w:rsidRPr="00BC512A">
        <w:rPr>
          <w:rFonts w:ascii="Segoe UI" w:hAnsi="Segoe UI" w:cs="Segoe UI"/>
          <w:b/>
          <w:bCs/>
        </w:rPr>
        <w:t xml:space="preserve"> Approach)</w:t>
      </w:r>
      <w:r w:rsidR="009F17A2" w:rsidRPr="00BC512A">
        <w:rPr>
          <w:rFonts w:ascii="Segoe UI" w:hAnsi="Segoe UI" w:cs="Segoe UI"/>
          <w:b/>
          <w:bCs/>
        </w:rPr>
        <w:t>:</w:t>
      </w:r>
    </w:p>
    <w:p w14:paraId="605D5AD5" w14:textId="0C3E623B" w:rsidR="001668C9" w:rsidRPr="0044025E" w:rsidRDefault="009A05B4" w:rsidP="001668C9">
      <w:pPr>
        <w:rPr>
          <w:rFonts w:ascii="Segoe UI" w:hAnsi="Segoe UI" w:cs="Segoe UI"/>
          <w:i/>
          <w:iCs/>
          <w:sz w:val="20"/>
          <w:szCs w:val="20"/>
        </w:rPr>
      </w:pPr>
      <w:r w:rsidRPr="0044025E">
        <w:rPr>
          <w:rFonts w:ascii="Segoe UI" w:hAnsi="Segoe UI" w:cs="Segoe UI"/>
          <w:i/>
          <w:iCs/>
          <w:sz w:val="20"/>
          <w:szCs w:val="20"/>
        </w:rPr>
        <w:t>I</w:t>
      </w:r>
      <w:r w:rsidR="001668C9" w:rsidRPr="0044025E">
        <w:rPr>
          <w:rFonts w:ascii="Segoe UI" w:hAnsi="Segoe UI" w:cs="Segoe UI"/>
          <w:i/>
          <w:iCs/>
          <w:sz w:val="20"/>
          <w:szCs w:val="20"/>
        </w:rPr>
        <w:t xml:space="preserve"> have developed and implemented a Preventive Diagnostic System. Moving beyond simple attrition tracking, this system utilizes:</w:t>
      </w:r>
    </w:p>
    <w:p w14:paraId="78728FDE" w14:textId="77777777" w:rsidR="001668C9" w:rsidRPr="0044025E" w:rsidRDefault="001668C9" w:rsidP="001668C9">
      <w:pPr>
        <w:numPr>
          <w:ilvl w:val="0"/>
          <w:numId w:val="10"/>
        </w:numPr>
        <w:rPr>
          <w:rFonts w:ascii="Segoe UI" w:hAnsi="Segoe UI" w:cs="Segoe UI"/>
          <w:i/>
          <w:iCs/>
          <w:sz w:val="20"/>
          <w:szCs w:val="20"/>
        </w:rPr>
      </w:pPr>
      <w:r w:rsidRPr="00BC512A">
        <w:rPr>
          <w:rFonts w:ascii="Segoe UI" w:hAnsi="Segoe UI" w:cs="Segoe UI"/>
          <w:b/>
          <w:bCs/>
          <w:sz w:val="20"/>
          <w:szCs w:val="20"/>
        </w:rPr>
        <w:t>Unified Engagement Index:</w:t>
      </w:r>
      <w:r w:rsidRPr="0044025E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44025E">
        <w:rPr>
          <w:rFonts w:ascii="Segoe UI" w:hAnsi="Segoe UI" w:cs="Segoe UI"/>
          <w:i/>
          <w:iCs/>
          <w:sz w:val="20"/>
          <w:szCs w:val="20"/>
        </w:rPr>
        <w:t>A data-driven score mapping professional and mental satisfaction.</w:t>
      </w:r>
    </w:p>
    <w:p w14:paraId="5E062677" w14:textId="77777777" w:rsidR="001668C9" w:rsidRPr="0044025E" w:rsidRDefault="001668C9" w:rsidP="001668C9">
      <w:pPr>
        <w:numPr>
          <w:ilvl w:val="0"/>
          <w:numId w:val="10"/>
        </w:numPr>
        <w:rPr>
          <w:rFonts w:ascii="Segoe UI" w:hAnsi="Segoe UI" w:cs="Segoe UI"/>
          <w:i/>
          <w:iCs/>
          <w:sz w:val="20"/>
          <w:szCs w:val="20"/>
        </w:rPr>
      </w:pPr>
      <w:r w:rsidRPr="00BC512A">
        <w:rPr>
          <w:rFonts w:ascii="Segoe UI" w:hAnsi="Segoe UI" w:cs="Segoe UI"/>
          <w:b/>
          <w:bCs/>
          <w:sz w:val="20"/>
          <w:szCs w:val="20"/>
        </w:rPr>
        <w:t>Burnout Risk Detection</w:t>
      </w:r>
      <w:r w:rsidRPr="00BC512A">
        <w:rPr>
          <w:rFonts w:ascii="Segoe UI" w:hAnsi="Segoe UI" w:cs="Segoe UI"/>
          <w:sz w:val="20"/>
          <w:szCs w:val="20"/>
        </w:rPr>
        <w:t>:</w:t>
      </w:r>
      <w:r w:rsidRPr="0044025E">
        <w:rPr>
          <w:rFonts w:ascii="Segoe UI" w:hAnsi="Segoe UI" w:cs="Segoe UI"/>
          <w:i/>
          <w:iCs/>
          <w:sz w:val="20"/>
          <w:szCs w:val="20"/>
        </w:rPr>
        <w:t xml:space="preserve"> Identifying "High-Risk" talent by correlating Overtime data with Work-Life Balance.</w:t>
      </w:r>
    </w:p>
    <w:p w14:paraId="2CFE95F2" w14:textId="77777777" w:rsidR="001668C9" w:rsidRPr="0044025E" w:rsidRDefault="001668C9" w:rsidP="001668C9">
      <w:pPr>
        <w:numPr>
          <w:ilvl w:val="0"/>
          <w:numId w:val="10"/>
        </w:numPr>
        <w:rPr>
          <w:rFonts w:ascii="Segoe UI" w:hAnsi="Segoe UI" w:cs="Segoe UI"/>
          <w:i/>
          <w:iCs/>
          <w:sz w:val="20"/>
          <w:szCs w:val="20"/>
        </w:rPr>
      </w:pPr>
      <w:r w:rsidRPr="00BC512A">
        <w:rPr>
          <w:rFonts w:ascii="Segoe UI" w:hAnsi="Segoe UI" w:cs="Segoe UI"/>
          <w:b/>
          <w:bCs/>
          <w:sz w:val="20"/>
          <w:szCs w:val="20"/>
        </w:rPr>
        <w:t>Predictive Modeling</w:t>
      </w:r>
      <w:r w:rsidRPr="00BC512A">
        <w:rPr>
          <w:rFonts w:ascii="Segoe UI" w:hAnsi="Segoe UI" w:cs="Segoe UI"/>
          <w:sz w:val="20"/>
          <w:szCs w:val="20"/>
        </w:rPr>
        <w:t>:</w:t>
      </w:r>
      <w:r w:rsidRPr="0044025E">
        <w:rPr>
          <w:rFonts w:ascii="Segoe UI" w:hAnsi="Segoe UI" w:cs="Segoe UI"/>
          <w:i/>
          <w:iCs/>
          <w:sz w:val="20"/>
          <w:szCs w:val="20"/>
        </w:rPr>
        <w:t xml:space="preserve"> Using Linear Regression to forecast engagement trends rather than just reacting to past data.</w:t>
      </w:r>
    </w:p>
    <w:p w14:paraId="3DCB4246" w14:textId="77777777" w:rsidR="001668C9" w:rsidRPr="006E6D96" w:rsidRDefault="00000000" w:rsidP="001668C9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pict w14:anchorId="534229D4">
          <v:rect id="_x0000_i1030" style="width:0;height:1.5pt" o:hralign="center" o:hrstd="t" o:hr="t" fillcolor="#a0a0a0" stroked="f"/>
        </w:pict>
      </w:r>
    </w:p>
    <w:p w14:paraId="39BA5DB5" w14:textId="473BABB9" w:rsidR="001668C9" w:rsidRPr="001565B7" w:rsidRDefault="001668C9" w:rsidP="001668C9">
      <w:pPr>
        <w:rPr>
          <w:rFonts w:ascii="Segoe UI" w:hAnsi="Segoe UI" w:cs="Segoe UI"/>
          <w:b/>
          <w:bCs/>
          <w:sz w:val="24"/>
          <w:szCs w:val="24"/>
        </w:rPr>
      </w:pPr>
      <w:r w:rsidRPr="001565B7">
        <w:rPr>
          <w:rFonts w:ascii="Segoe UI" w:hAnsi="Segoe UI" w:cs="Segoe UI"/>
          <w:b/>
          <w:bCs/>
          <w:sz w:val="24"/>
          <w:szCs w:val="24"/>
        </w:rPr>
        <w:t>Key Diagnostic Findings (The Reality Check)</w:t>
      </w:r>
      <w:r w:rsidR="00B73242" w:rsidRPr="001565B7">
        <w:rPr>
          <w:rFonts w:ascii="Segoe UI" w:hAnsi="Segoe UI" w:cs="Segoe UI"/>
          <w:b/>
          <w:bCs/>
          <w:sz w:val="24"/>
          <w:szCs w:val="24"/>
        </w:rPr>
        <w:t>:</w:t>
      </w:r>
    </w:p>
    <w:p w14:paraId="3DA9C045" w14:textId="0F3419CC" w:rsidR="001668C9" w:rsidRPr="00166BAD" w:rsidRDefault="001668C9" w:rsidP="001668C9">
      <w:pPr>
        <w:numPr>
          <w:ilvl w:val="0"/>
          <w:numId w:val="11"/>
        </w:numPr>
        <w:rPr>
          <w:rFonts w:ascii="Segoe UI" w:hAnsi="Segoe UI" w:cs="Segoe UI"/>
          <w:i/>
          <w:iCs/>
          <w:sz w:val="20"/>
          <w:szCs w:val="20"/>
        </w:rPr>
      </w:pPr>
      <w:r w:rsidRPr="001565B7">
        <w:rPr>
          <w:rFonts w:ascii="Segoe UI" w:hAnsi="Segoe UI" w:cs="Segoe UI"/>
          <w:b/>
          <w:bCs/>
          <w:sz w:val="20"/>
          <w:szCs w:val="20"/>
        </w:rPr>
        <w:t>Universal Stagnation:</w:t>
      </w:r>
      <w:r w:rsidR="000F2D66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="008C611D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166BAD">
        <w:rPr>
          <w:rFonts w:ascii="Segoe UI" w:hAnsi="Segoe UI" w:cs="Segoe UI"/>
          <w:i/>
          <w:iCs/>
          <w:sz w:val="20"/>
          <w:szCs w:val="20"/>
        </w:rPr>
        <w:t>A critical discovery of this diagnostic is the total absence of the "Green Zone" (3.5+) across all departments. This indicates that current engagement strategies are ineffective against industry-wide pressure.</w:t>
      </w:r>
    </w:p>
    <w:p w14:paraId="3441F6E7" w14:textId="1209857C" w:rsidR="001668C9" w:rsidRPr="00166BAD" w:rsidRDefault="001668C9" w:rsidP="001668C9">
      <w:pPr>
        <w:numPr>
          <w:ilvl w:val="0"/>
          <w:numId w:val="11"/>
        </w:numPr>
        <w:rPr>
          <w:rFonts w:ascii="Segoe UI" w:hAnsi="Segoe UI" w:cs="Segoe UI"/>
          <w:i/>
          <w:iCs/>
          <w:sz w:val="20"/>
          <w:szCs w:val="20"/>
        </w:rPr>
      </w:pPr>
      <w:r w:rsidRPr="001565B7">
        <w:rPr>
          <w:rFonts w:ascii="Segoe UI" w:hAnsi="Segoe UI" w:cs="Segoe UI"/>
          <w:b/>
          <w:bCs/>
          <w:sz w:val="20"/>
          <w:szCs w:val="20"/>
        </w:rPr>
        <w:t>The Ma</w:t>
      </w:r>
      <w:r w:rsidR="00410F50" w:rsidRPr="001565B7">
        <w:rPr>
          <w:rFonts w:ascii="Segoe UI" w:hAnsi="Segoe UI" w:cs="Segoe UI"/>
          <w:b/>
          <w:bCs/>
          <w:sz w:val="20"/>
          <w:szCs w:val="20"/>
        </w:rPr>
        <w:t xml:space="preserve">roon </w:t>
      </w:r>
      <w:r w:rsidRPr="001565B7">
        <w:rPr>
          <w:rFonts w:ascii="Segoe UI" w:hAnsi="Segoe UI" w:cs="Segoe UI"/>
          <w:b/>
          <w:bCs/>
          <w:sz w:val="20"/>
          <w:szCs w:val="20"/>
        </w:rPr>
        <w:t>Alert</w:t>
      </w:r>
      <w:r w:rsidR="008C611D" w:rsidRPr="001565B7">
        <w:rPr>
          <w:rFonts w:ascii="Segoe UI" w:hAnsi="Segoe UI" w:cs="Segoe UI"/>
          <w:b/>
          <w:bCs/>
          <w:sz w:val="20"/>
          <w:szCs w:val="20"/>
        </w:rPr>
        <w:t>:</w:t>
      </w:r>
      <w:r w:rsidR="000F2D66">
        <w:rPr>
          <w:rFonts w:ascii="Segoe UI" w:hAnsi="Segoe UI" w:cs="Segoe UI"/>
          <w:i/>
          <w:iCs/>
          <w:sz w:val="20"/>
          <w:szCs w:val="20"/>
          <w:u w:val="single"/>
        </w:rPr>
        <w:t xml:space="preserve"> </w:t>
      </w:r>
      <w:r w:rsidR="000F2D66">
        <w:rPr>
          <w:rFonts w:ascii="Segoe UI" w:hAnsi="Segoe UI" w:cs="Segoe UI"/>
          <w:i/>
          <w:iCs/>
          <w:sz w:val="20"/>
          <w:szCs w:val="20"/>
        </w:rPr>
        <w:t xml:space="preserve"> With</w:t>
      </w:r>
      <w:r w:rsidRPr="00166BAD">
        <w:rPr>
          <w:rFonts w:ascii="Segoe UI" w:hAnsi="Segoe UI" w:cs="Segoe UI"/>
          <w:i/>
          <w:iCs/>
          <w:sz w:val="20"/>
          <w:szCs w:val="20"/>
        </w:rPr>
        <w:t xml:space="preserve"> a current organization-wide score of 2.72, the Ma</w:t>
      </w:r>
      <w:r w:rsidR="00156EB0">
        <w:rPr>
          <w:rFonts w:ascii="Segoe UI" w:hAnsi="Segoe UI" w:cs="Segoe UI"/>
          <w:i/>
          <w:iCs/>
          <w:sz w:val="20"/>
          <w:szCs w:val="20"/>
        </w:rPr>
        <w:t>roon</w:t>
      </w:r>
      <w:r w:rsidRPr="00166BAD">
        <w:rPr>
          <w:rFonts w:ascii="Segoe UI" w:hAnsi="Segoe UI" w:cs="Segoe UI"/>
          <w:i/>
          <w:iCs/>
          <w:sz w:val="20"/>
          <w:szCs w:val="20"/>
        </w:rPr>
        <w:t xml:space="preserve"> Gauge signals a "Cautionary Phase." Employees are technically productive but are operating in Survival Mode, making them highly vulnerable to burnout.</w:t>
      </w:r>
    </w:p>
    <w:p w14:paraId="61A9BB9B" w14:textId="11FEFAA8" w:rsidR="001668C9" w:rsidRPr="005E2CAE" w:rsidRDefault="001668C9" w:rsidP="001668C9">
      <w:pPr>
        <w:numPr>
          <w:ilvl w:val="0"/>
          <w:numId w:val="11"/>
        </w:numPr>
        <w:rPr>
          <w:rFonts w:ascii="Segoe UI" w:hAnsi="Segoe UI" w:cs="Segoe UI"/>
          <w:i/>
          <w:iCs/>
          <w:sz w:val="20"/>
          <w:szCs w:val="20"/>
        </w:rPr>
      </w:pPr>
      <w:r w:rsidRPr="008E7706">
        <w:rPr>
          <w:rFonts w:ascii="Segoe UI" w:hAnsi="Segoe UI" w:cs="Segoe UI"/>
          <w:b/>
          <w:bCs/>
          <w:sz w:val="20"/>
          <w:szCs w:val="20"/>
        </w:rPr>
        <w:lastRenderedPageBreak/>
        <w:t>The Burnout Catalyst:</w:t>
      </w:r>
      <w:r w:rsidR="00777A00">
        <w:rPr>
          <w:rFonts w:ascii="Segoe UI" w:hAnsi="Segoe UI" w:cs="Segoe UI"/>
          <w:b/>
          <w:bCs/>
          <w:i/>
          <w:iCs/>
          <w:sz w:val="20"/>
          <w:szCs w:val="20"/>
          <w:u w:val="single"/>
        </w:rPr>
        <w:t xml:space="preserve"> </w:t>
      </w:r>
      <w:r w:rsidRPr="005E2CAE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5E2CAE">
        <w:rPr>
          <w:rFonts w:ascii="Segoe UI" w:hAnsi="Segoe UI" w:cs="Segoe UI"/>
          <w:i/>
          <w:iCs/>
          <w:sz w:val="20"/>
          <w:szCs w:val="20"/>
        </w:rPr>
        <w:t>Backend analysis confirms that Workload Intensity (Overtime) is the primary driver of disengagement. Surprisingly, Monthly Income shows near-zero correlation with happiness, proving that salary hikes alone cannot fix a burnout crisis.</w:t>
      </w:r>
    </w:p>
    <w:p w14:paraId="478F1248" w14:textId="77777777" w:rsidR="001668C9" w:rsidRPr="006E6D96" w:rsidRDefault="00000000" w:rsidP="001668C9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pict w14:anchorId="2C4B9025">
          <v:rect id="_x0000_i1031" style="width:0;height:1.5pt" o:hralign="center" o:hrstd="t" o:hr="t" fillcolor="#a0a0a0" stroked="f"/>
        </w:pict>
      </w:r>
    </w:p>
    <w:p w14:paraId="56BD405A" w14:textId="4CA09EAE" w:rsidR="001668C9" w:rsidRDefault="001668C9" w:rsidP="001668C9">
      <w:pPr>
        <w:rPr>
          <w:rFonts w:ascii="Segoe UI" w:hAnsi="Segoe UI" w:cs="Segoe UI"/>
          <w:b/>
          <w:bCs/>
          <w:sz w:val="24"/>
          <w:szCs w:val="24"/>
        </w:rPr>
      </w:pPr>
      <w:r w:rsidRPr="008E7706">
        <w:rPr>
          <w:rFonts w:ascii="Segoe UI" w:hAnsi="Segoe UI" w:cs="Segoe UI"/>
          <w:b/>
          <w:bCs/>
          <w:sz w:val="24"/>
          <w:szCs w:val="24"/>
        </w:rPr>
        <w:t>Strategic Recommendations (The Action Plan)</w:t>
      </w:r>
      <w:r w:rsidR="00020D60" w:rsidRPr="008E7706">
        <w:rPr>
          <w:rFonts w:ascii="Segoe UI" w:hAnsi="Segoe UI" w:cs="Segoe UI"/>
          <w:b/>
          <w:bCs/>
          <w:sz w:val="24"/>
          <w:szCs w:val="24"/>
        </w:rPr>
        <w:t>:</w:t>
      </w:r>
    </w:p>
    <w:p w14:paraId="63590158" w14:textId="77777777" w:rsidR="00946792" w:rsidRPr="008E7706" w:rsidRDefault="00946792" w:rsidP="001668C9">
      <w:pPr>
        <w:rPr>
          <w:rFonts w:ascii="Segoe UI" w:hAnsi="Segoe UI" w:cs="Segoe UI"/>
          <w:b/>
          <w:bCs/>
          <w:sz w:val="24"/>
          <w:szCs w:val="24"/>
        </w:rPr>
      </w:pPr>
    </w:p>
    <w:p w14:paraId="48958DDA" w14:textId="65443DBD" w:rsidR="00946792" w:rsidRPr="00946792" w:rsidRDefault="001668C9" w:rsidP="00946792">
      <w:pPr>
        <w:numPr>
          <w:ilvl w:val="0"/>
          <w:numId w:val="12"/>
        </w:numPr>
        <w:rPr>
          <w:rFonts w:ascii="Segoe UI" w:hAnsi="Segoe UI" w:cs="Segoe UI"/>
          <w:i/>
          <w:iCs/>
          <w:sz w:val="20"/>
          <w:szCs w:val="20"/>
        </w:rPr>
      </w:pPr>
      <w:r w:rsidRPr="008E7706">
        <w:rPr>
          <w:rFonts w:ascii="Segoe UI" w:hAnsi="Segoe UI" w:cs="Segoe UI"/>
          <w:b/>
          <w:bCs/>
          <w:sz w:val="20"/>
          <w:szCs w:val="20"/>
        </w:rPr>
        <w:t>The "3.5 Goal" Roadmap:</w:t>
      </w:r>
      <w:r w:rsidRPr="005E2CAE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5E2CAE">
        <w:rPr>
          <w:rFonts w:ascii="Segoe UI" w:hAnsi="Segoe UI" w:cs="Segoe UI"/>
          <w:i/>
          <w:iCs/>
          <w:sz w:val="20"/>
          <w:szCs w:val="20"/>
        </w:rPr>
        <w:t>Implement qualitative wellbeing policies (e.g., Mandatory "Offline" hours, flexible sprint cycles) to push the Engagement Gauge from Ma</w:t>
      </w:r>
      <w:r w:rsidR="00880E71">
        <w:rPr>
          <w:rFonts w:ascii="Segoe UI" w:hAnsi="Segoe UI" w:cs="Segoe UI"/>
          <w:i/>
          <w:iCs/>
          <w:sz w:val="20"/>
          <w:szCs w:val="20"/>
        </w:rPr>
        <w:t>roon</w:t>
      </w:r>
      <w:r w:rsidRPr="005E2CAE">
        <w:rPr>
          <w:rFonts w:ascii="Segoe UI" w:hAnsi="Segoe UI" w:cs="Segoe UI"/>
          <w:i/>
          <w:iCs/>
          <w:sz w:val="20"/>
          <w:szCs w:val="20"/>
        </w:rPr>
        <w:t xml:space="preserve"> to Green over the next 12 months.</w:t>
      </w:r>
    </w:p>
    <w:p w14:paraId="70F7444C" w14:textId="77777777" w:rsidR="001668C9" w:rsidRPr="005E2CAE" w:rsidRDefault="001668C9" w:rsidP="001668C9">
      <w:pPr>
        <w:numPr>
          <w:ilvl w:val="0"/>
          <w:numId w:val="12"/>
        </w:numPr>
        <w:rPr>
          <w:rFonts w:ascii="Segoe UI" w:hAnsi="Segoe UI" w:cs="Segoe UI"/>
          <w:i/>
          <w:iCs/>
          <w:sz w:val="20"/>
          <w:szCs w:val="20"/>
        </w:rPr>
      </w:pPr>
      <w:r w:rsidRPr="008E7706">
        <w:rPr>
          <w:rFonts w:ascii="Segoe UI" w:hAnsi="Segoe UI" w:cs="Segoe UI"/>
          <w:b/>
          <w:bCs/>
          <w:sz w:val="20"/>
          <w:szCs w:val="20"/>
        </w:rPr>
        <w:t>Early Career Intervention:</w:t>
      </w:r>
      <w:r w:rsidRPr="005E2CAE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5E2CAE">
        <w:rPr>
          <w:rFonts w:ascii="Segoe UI" w:hAnsi="Segoe UI" w:cs="Segoe UI"/>
          <w:i/>
          <w:iCs/>
          <w:sz w:val="20"/>
          <w:szCs w:val="20"/>
        </w:rPr>
        <w:t>Create a specialized 2-year "Mentorship &amp; Retention" program for the 20-30 age group, identified as the highest-risk demographic in our KDE analysis.</w:t>
      </w:r>
    </w:p>
    <w:p w14:paraId="59041B42" w14:textId="77777777" w:rsidR="001668C9" w:rsidRPr="005E2CAE" w:rsidRDefault="001668C9" w:rsidP="001668C9">
      <w:pPr>
        <w:numPr>
          <w:ilvl w:val="0"/>
          <w:numId w:val="12"/>
        </w:numPr>
        <w:rPr>
          <w:rFonts w:ascii="Segoe UI" w:hAnsi="Segoe UI" w:cs="Segoe UI"/>
          <w:i/>
          <w:iCs/>
          <w:sz w:val="20"/>
          <w:szCs w:val="20"/>
        </w:rPr>
      </w:pPr>
      <w:r w:rsidRPr="008E7706">
        <w:rPr>
          <w:rFonts w:ascii="Segoe UI" w:hAnsi="Segoe UI" w:cs="Segoe UI"/>
          <w:b/>
          <w:bCs/>
          <w:sz w:val="20"/>
          <w:szCs w:val="20"/>
        </w:rPr>
        <w:t>Proactive Policy Integration</w:t>
      </w:r>
      <w:r w:rsidRPr="008E7706">
        <w:rPr>
          <w:rFonts w:ascii="Segoe UI" w:hAnsi="Segoe UI" w:cs="Segoe UI"/>
          <w:sz w:val="20"/>
          <w:szCs w:val="20"/>
        </w:rPr>
        <w:t>:</w:t>
      </w:r>
      <w:r w:rsidRPr="005E2CAE">
        <w:rPr>
          <w:rFonts w:ascii="Segoe UI" w:hAnsi="Segoe UI" w:cs="Segoe UI"/>
          <w:i/>
          <w:iCs/>
          <w:sz w:val="20"/>
          <w:szCs w:val="20"/>
        </w:rPr>
        <w:t xml:space="preserve"> Embed the "High-Risk Marker" (Overtime + Tenure &lt; 1yr) into monthly HR reviews to allow for early-stage intervention before the talent leaves.</w:t>
      </w:r>
    </w:p>
    <w:p w14:paraId="0D96925D" w14:textId="77777777" w:rsidR="001668C9" w:rsidRPr="005E2CAE" w:rsidRDefault="001668C9" w:rsidP="001668C9">
      <w:pPr>
        <w:numPr>
          <w:ilvl w:val="0"/>
          <w:numId w:val="12"/>
        </w:numPr>
        <w:rPr>
          <w:rFonts w:ascii="Segoe UI" w:hAnsi="Segoe UI" w:cs="Segoe UI"/>
          <w:i/>
          <w:iCs/>
          <w:sz w:val="20"/>
          <w:szCs w:val="20"/>
        </w:rPr>
      </w:pPr>
      <w:r w:rsidRPr="008E7706">
        <w:rPr>
          <w:rFonts w:ascii="Segoe UI" w:hAnsi="Segoe UI" w:cs="Segoe UI"/>
          <w:b/>
          <w:bCs/>
          <w:sz w:val="20"/>
          <w:szCs w:val="20"/>
        </w:rPr>
        <w:t>Qualitative Pivot:</w:t>
      </w:r>
      <w:r w:rsidRPr="005E2CAE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Pr="005E2CAE">
        <w:rPr>
          <w:rFonts w:ascii="Segoe UI" w:hAnsi="Segoe UI" w:cs="Segoe UI"/>
          <w:i/>
          <w:iCs/>
          <w:sz w:val="20"/>
          <w:szCs w:val="20"/>
        </w:rPr>
        <w:t>Shift HR focus from monetary incentives to Culture &amp; Recognition, as data proves that Work-Life Balance is the strongest driver of long-term loyalty.</w:t>
      </w:r>
    </w:p>
    <w:p w14:paraId="54A8AF84" w14:textId="77777777" w:rsidR="00946792" w:rsidRDefault="00946792" w:rsidP="001668C9">
      <w:pPr>
        <w:rPr>
          <w:rFonts w:ascii="Segoe UI" w:hAnsi="Segoe UI" w:cs="Segoe UI"/>
          <w:b/>
          <w:bCs/>
          <w:sz w:val="24"/>
          <w:szCs w:val="24"/>
        </w:rPr>
      </w:pPr>
    </w:p>
    <w:p w14:paraId="21113C14" w14:textId="2D3A9EE3" w:rsidR="0096147A" w:rsidRPr="008E7706" w:rsidRDefault="001668C9" w:rsidP="001668C9">
      <w:pPr>
        <w:rPr>
          <w:rFonts w:ascii="Segoe UI" w:hAnsi="Segoe UI" w:cs="Segoe UI"/>
          <w:b/>
          <w:bCs/>
          <w:sz w:val="24"/>
          <w:szCs w:val="24"/>
        </w:rPr>
      </w:pPr>
      <w:r w:rsidRPr="008E7706">
        <w:rPr>
          <w:rFonts w:ascii="Segoe UI" w:hAnsi="Segoe UI" w:cs="Segoe UI"/>
          <w:b/>
          <w:bCs/>
          <w:sz w:val="24"/>
          <w:szCs w:val="24"/>
        </w:rPr>
        <w:t>Strategic Impact (The Goal)</w:t>
      </w:r>
      <w:r w:rsidR="00020D60" w:rsidRPr="008E7706">
        <w:rPr>
          <w:rFonts w:ascii="Segoe UI" w:hAnsi="Segoe UI" w:cs="Segoe UI"/>
          <w:b/>
          <w:bCs/>
          <w:sz w:val="24"/>
          <w:szCs w:val="24"/>
        </w:rPr>
        <w:t>:</w:t>
      </w:r>
    </w:p>
    <w:p w14:paraId="2C4905E2" w14:textId="77777777" w:rsidR="001668C9" w:rsidRPr="00141E4D" w:rsidRDefault="001668C9" w:rsidP="001668C9">
      <w:pPr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141E4D">
        <w:rPr>
          <w:rFonts w:ascii="Segoe UI" w:hAnsi="Segoe UI" w:cs="Segoe UI"/>
          <w:b/>
          <w:bCs/>
          <w:i/>
          <w:iCs/>
          <w:sz w:val="20"/>
          <w:szCs w:val="20"/>
        </w:rPr>
        <w:t>By transitioning from a Reactive to a Proactive Diagnostic System, Palo Alto Networks can expect to:</w:t>
      </w:r>
    </w:p>
    <w:p w14:paraId="087372B1" w14:textId="32C791FF" w:rsidR="001668C9" w:rsidRPr="0044025E" w:rsidRDefault="00EC70A9" w:rsidP="001668C9">
      <w:pPr>
        <w:numPr>
          <w:ilvl w:val="0"/>
          <w:numId w:val="13"/>
        </w:numPr>
        <w:rPr>
          <w:rFonts w:ascii="Segoe UI" w:hAnsi="Segoe UI" w:cs="Segoe UI"/>
          <w:i/>
          <w:iCs/>
          <w:sz w:val="20"/>
          <w:szCs w:val="20"/>
        </w:rPr>
      </w:pPr>
      <w:r w:rsidRPr="0044025E">
        <w:rPr>
          <w:rFonts w:ascii="Segoe UI" w:hAnsi="Segoe UI" w:cs="Segoe UI"/>
          <w:i/>
          <w:iCs/>
          <w:sz w:val="20"/>
          <w:szCs w:val="20"/>
        </w:rPr>
        <w:t>Enhanced retention capabilities by enabling HR to intervene before the 'High-Risk' markers lead to actual resignations.</w:t>
      </w:r>
    </w:p>
    <w:p w14:paraId="50039DA2" w14:textId="77777777" w:rsidR="001668C9" w:rsidRPr="0044025E" w:rsidRDefault="001668C9" w:rsidP="001668C9">
      <w:pPr>
        <w:numPr>
          <w:ilvl w:val="0"/>
          <w:numId w:val="13"/>
        </w:numPr>
        <w:rPr>
          <w:rFonts w:ascii="Segoe UI" w:hAnsi="Segoe UI" w:cs="Segoe UI"/>
          <w:i/>
          <w:iCs/>
          <w:sz w:val="20"/>
          <w:szCs w:val="20"/>
        </w:rPr>
      </w:pPr>
      <w:r w:rsidRPr="0044025E">
        <w:rPr>
          <w:rFonts w:ascii="Segoe UI" w:hAnsi="Segoe UI" w:cs="Segoe UI"/>
          <w:i/>
          <w:iCs/>
          <w:sz w:val="20"/>
          <w:szCs w:val="20"/>
        </w:rPr>
        <w:t>Boost Productivity by maintaining a burnout-free, high-engagement environment.</w:t>
      </w:r>
    </w:p>
    <w:p w14:paraId="35C32592" w14:textId="2186FD42" w:rsidR="001668C9" w:rsidRDefault="001668C9" w:rsidP="00912BF3">
      <w:pPr>
        <w:numPr>
          <w:ilvl w:val="0"/>
          <w:numId w:val="13"/>
        </w:numPr>
        <w:rPr>
          <w:rFonts w:ascii="Segoe UI" w:hAnsi="Segoe UI" w:cs="Segoe UI"/>
          <w:i/>
          <w:iCs/>
          <w:sz w:val="20"/>
          <w:szCs w:val="20"/>
        </w:rPr>
      </w:pPr>
      <w:r w:rsidRPr="0044025E">
        <w:rPr>
          <w:rFonts w:ascii="Segoe UI" w:hAnsi="Segoe UI" w:cs="Segoe UI"/>
          <w:i/>
          <w:iCs/>
          <w:sz w:val="20"/>
          <w:szCs w:val="20"/>
        </w:rPr>
        <w:t xml:space="preserve">Ensure Business Continuity by securing the organization’s most valuable </w:t>
      </w:r>
      <w:proofErr w:type="gramStart"/>
      <w:r w:rsidRPr="0044025E">
        <w:rPr>
          <w:rFonts w:ascii="Segoe UI" w:hAnsi="Segoe UI" w:cs="Segoe UI"/>
          <w:i/>
          <w:iCs/>
          <w:sz w:val="20"/>
          <w:szCs w:val="20"/>
        </w:rPr>
        <w:t>asse</w:t>
      </w:r>
      <w:r w:rsidR="00912BF3">
        <w:rPr>
          <w:rFonts w:ascii="Segoe UI" w:hAnsi="Segoe UI" w:cs="Segoe UI"/>
          <w:i/>
          <w:iCs/>
          <w:sz w:val="20"/>
          <w:szCs w:val="20"/>
        </w:rPr>
        <w:t>t :</w:t>
      </w:r>
      <w:proofErr w:type="gramEnd"/>
      <w:r w:rsidRPr="00912BF3">
        <w:rPr>
          <w:rFonts w:ascii="Segoe UI" w:hAnsi="Segoe UI" w:cs="Segoe UI"/>
          <w:i/>
          <w:iCs/>
          <w:sz w:val="20"/>
          <w:szCs w:val="20"/>
        </w:rPr>
        <w:t xml:space="preserve"> its people.</w:t>
      </w:r>
    </w:p>
    <w:p w14:paraId="1A15C927" w14:textId="77777777" w:rsidR="0096147A" w:rsidRPr="00912BF3" w:rsidRDefault="0096147A" w:rsidP="0096147A">
      <w:pPr>
        <w:ind w:left="360"/>
        <w:rPr>
          <w:rFonts w:ascii="Segoe UI" w:hAnsi="Segoe UI" w:cs="Segoe UI"/>
          <w:i/>
          <w:iCs/>
          <w:sz w:val="20"/>
          <w:szCs w:val="20"/>
        </w:rPr>
      </w:pPr>
    </w:p>
    <w:p w14:paraId="1A852417" w14:textId="77777777" w:rsidR="001668C9" w:rsidRPr="006E6D96" w:rsidRDefault="00000000" w:rsidP="001668C9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pict w14:anchorId="69E5A505">
          <v:rect id="_x0000_i1032" style="width:0;height:1.5pt" o:hralign="center" o:hrstd="t" o:hr="t" fillcolor="#a0a0a0" stroked="f"/>
        </w:pict>
      </w:r>
    </w:p>
    <w:p w14:paraId="00C635DD" w14:textId="15043037" w:rsidR="001668C9" w:rsidRPr="005E2CAE" w:rsidRDefault="001668C9" w:rsidP="001668C9">
      <w:pPr>
        <w:rPr>
          <w:rFonts w:ascii="Segoe UI" w:hAnsi="Segoe UI" w:cs="Segoe UI"/>
          <w:i/>
          <w:iCs/>
          <w:color w:val="000000" w:themeColor="text1"/>
          <w:sz w:val="20"/>
          <w:szCs w:val="20"/>
        </w:rPr>
      </w:pPr>
      <w:r w:rsidRPr="008E7706">
        <w:rPr>
          <w:rFonts w:ascii="Segoe UI" w:hAnsi="Segoe UI" w:cs="Segoe UI"/>
          <w:b/>
          <w:bCs/>
          <w:color w:val="000000" w:themeColor="text1"/>
          <w:sz w:val="24"/>
          <w:szCs w:val="24"/>
        </w:rPr>
        <w:t>Conclusion:</w:t>
      </w:r>
      <w:r w:rsidRPr="005E2CAE">
        <w:rPr>
          <w:rFonts w:ascii="Segoe UI" w:hAnsi="Segoe UI" w:cs="Segoe UI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5E2CAE">
        <w:rPr>
          <w:rFonts w:ascii="Segoe UI" w:hAnsi="Segoe UI" w:cs="Segoe UI"/>
          <w:i/>
          <w:iCs/>
          <w:color w:val="000000" w:themeColor="text1"/>
          <w:sz w:val="20"/>
          <w:szCs w:val="20"/>
        </w:rPr>
        <w:t>The data is clear</w:t>
      </w:r>
      <w:r w:rsidR="007D5E20" w:rsidRPr="005E2CAE">
        <w:rPr>
          <w:rFonts w:ascii="Segoe UI" w:hAnsi="Segoe UI" w:cs="Segoe UI"/>
          <w:i/>
          <w:iCs/>
          <w:color w:val="000000" w:themeColor="text1"/>
          <w:sz w:val="20"/>
          <w:szCs w:val="20"/>
        </w:rPr>
        <w:t xml:space="preserve">: </w:t>
      </w:r>
      <w:r w:rsidRPr="005E2CAE">
        <w:rPr>
          <w:rFonts w:ascii="Segoe UI" w:hAnsi="Segoe UI" w:cs="Segoe UI"/>
          <w:i/>
          <w:iCs/>
          <w:color w:val="000000" w:themeColor="text1"/>
          <w:sz w:val="20"/>
          <w:szCs w:val="20"/>
        </w:rPr>
        <w:t>Palo Alto Networks is at a cultural crossroads. Moving the needle from Ma</w:t>
      </w:r>
      <w:r w:rsidR="00A94108">
        <w:rPr>
          <w:rFonts w:ascii="Segoe UI" w:hAnsi="Segoe UI" w:cs="Segoe UI"/>
          <w:i/>
          <w:iCs/>
          <w:color w:val="000000" w:themeColor="text1"/>
          <w:sz w:val="20"/>
          <w:szCs w:val="20"/>
        </w:rPr>
        <w:t>roon</w:t>
      </w:r>
      <w:r w:rsidRPr="005E2CAE">
        <w:rPr>
          <w:rFonts w:ascii="Segoe UI" w:hAnsi="Segoe UI" w:cs="Segoe UI"/>
          <w:i/>
          <w:iCs/>
          <w:color w:val="000000" w:themeColor="text1"/>
          <w:sz w:val="20"/>
          <w:szCs w:val="20"/>
        </w:rPr>
        <w:t xml:space="preserve"> to Green is no longer optional—it is a strategic necessity to ensure long-term stability in a competitive market.</w:t>
      </w:r>
    </w:p>
    <w:p w14:paraId="0F30058C" w14:textId="5969E97A" w:rsidR="0097625C" w:rsidRPr="005E2CAE" w:rsidRDefault="0097625C" w:rsidP="001668C9">
      <w:pPr>
        <w:rPr>
          <w:rFonts w:ascii="Segoe UI" w:hAnsi="Segoe UI" w:cs="Segoe UI"/>
          <w:b/>
          <w:bCs/>
          <w:i/>
          <w:iCs/>
          <w:color w:val="000000" w:themeColor="text1"/>
          <w:sz w:val="20"/>
          <w:szCs w:val="20"/>
        </w:rPr>
      </w:pPr>
    </w:p>
    <w:p w14:paraId="37400466" w14:textId="77777777" w:rsidR="003F6866" w:rsidRPr="006E6D96" w:rsidRDefault="003F6866">
      <w:pPr>
        <w:rPr>
          <w:rFonts w:ascii="Segoe UI" w:hAnsi="Segoe UI" w:cs="Segoe UI"/>
          <w:sz w:val="20"/>
          <w:szCs w:val="20"/>
        </w:rPr>
      </w:pPr>
    </w:p>
    <w:sectPr w:rsidR="003F6866" w:rsidRPr="006E6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26A1" w14:textId="77777777" w:rsidR="00B52ADC" w:rsidRDefault="00B52ADC" w:rsidP="00891324">
      <w:pPr>
        <w:spacing w:after="0" w:line="240" w:lineRule="auto"/>
      </w:pPr>
      <w:r>
        <w:separator/>
      </w:r>
    </w:p>
  </w:endnote>
  <w:endnote w:type="continuationSeparator" w:id="0">
    <w:p w14:paraId="0F673AB9" w14:textId="77777777" w:rsidR="00B52ADC" w:rsidRDefault="00B52ADC" w:rsidP="0089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052F" w14:textId="77777777" w:rsidR="00B52ADC" w:rsidRDefault="00B52ADC" w:rsidP="00891324">
      <w:pPr>
        <w:spacing w:after="0" w:line="240" w:lineRule="auto"/>
      </w:pPr>
      <w:r>
        <w:separator/>
      </w:r>
    </w:p>
  </w:footnote>
  <w:footnote w:type="continuationSeparator" w:id="0">
    <w:p w14:paraId="40FE6C04" w14:textId="77777777" w:rsidR="00B52ADC" w:rsidRDefault="00B52ADC" w:rsidP="0089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666317"/>
    <w:multiLevelType w:val="multilevel"/>
    <w:tmpl w:val="52C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6423"/>
    <w:multiLevelType w:val="multilevel"/>
    <w:tmpl w:val="AB3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0AB0"/>
    <w:multiLevelType w:val="hybridMultilevel"/>
    <w:tmpl w:val="BB683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B65F9"/>
    <w:multiLevelType w:val="multilevel"/>
    <w:tmpl w:val="AF1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1867"/>
    <w:multiLevelType w:val="multilevel"/>
    <w:tmpl w:val="DBA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870BB"/>
    <w:multiLevelType w:val="hybridMultilevel"/>
    <w:tmpl w:val="E842AA4C"/>
    <w:lvl w:ilvl="0" w:tplc="C20A8C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38DF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E4FF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9452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CAE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8A6F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A669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466F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ED5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1DE4101"/>
    <w:multiLevelType w:val="multilevel"/>
    <w:tmpl w:val="266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1758"/>
    <w:multiLevelType w:val="multilevel"/>
    <w:tmpl w:val="8B1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D21BD"/>
    <w:multiLevelType w:val="multilevel"/>
    <w:tmpl w:val="F75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403C5"/>
    <w:multiLevelType w:val="multilevel"/>
    <w:tmpl w:val="AB4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85B12"/>
    <w:multiLevelType w:val="multilevel"/>
    <w:tmpl w:val="2D32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F0C75"/>
    <w:multiLevelType w:val="multilevel"/>
    <w:tmpl w:val="077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42CB5"/>
    <w:multiLevelType w:val="multilevel"/>
    <w:tmpl w:val="B90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96F54"/>
    <w:multiLevelType w:val="multilevel"/>
    <w:tmpl w:val="648E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510810">
    <w:abstractNumId w:val="11"/>
  </w:num>
  <w:num w:numId="2" w16cid:durableId="1894123491">
    <w:abstractNumId w:val="8"/>
  </w:num>
  <w:num w:numId="3" w16cid:durableId="880240854">
    <w:abstractNumId w:val="6"/>
  </w:num>
  <w:num w:numId="4" w16cid:durableId="466751553">
    <w:abstractNumId w:val="3"/>
  </w:num>
  <w:num w:numId="5" w16cid:durableId="61561802">
    <w:abstractNumId w:val="7"/>
  </w:num>
  <w:num w:numId="6" w16cid:durableId="1079015357">
    <w:abstractNumId w:val="1"/>
  </w:num>
  <w:num w:numId="7" w16cid:durableId="592862975">
    <w:abstractNumId w:val="10"/>
  </w:num>
  <w:num w:numId="8" w16cid:durableId="779178575">
    <w:abstractNumId w:val="2"/>
  </w:num>
  <w:num w:numId="9" w16cid:durableId="6951067">
    <w:abstractNumId w:val="4"/>
  </w:num>
  <w:num w:numId="10" w16cid:durableId="1905795243">
    <w:abstractNumId w:val="12"/>
  </w:num>
  <w:num w:numId="11" w16cid:durableId="972949867">
    <w:abstractNumId w:val="0"/>
  </w:num>
  <w:num w:numId="12" w16cid:durableId="1174032761">
    <w:abstractNumId w:val="13"/>
  </w:num>
  <w:num w:numId="13" w16cid:durableId="1443962883">
    <w:abstractNumId w:val="9"/>
  </w:num>
  <w:num w:numId="14" w16cid:durableId="45953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5C"/>
    <w:rsid w:val="000158D9"/>
    <w:rsid w:val="00020D60"/>
    <w:rsid w:val="0003006F"/>
    <w:rsid w:val="0008049D"/>
    <w:rsid w:val="000F2D66"/>
    <w:rsid w:val="00141E4D"/>
    <w:rsid w:val="001565B7"/>
    <w:rsid w:val="00156EB0"/>
    <w:rsid w:val="001668C9"/>
    <w:rsid w:val="00166BAD"/>
    <w:rsid w:val="001D6284"/>
    <w:rsid w:val="00234023"/>
    <w:rsid w:val="00247D57"/>
    <w:rsid w:val="00286D57"/>
    <w:rsid w:val="0029422D"/>
    <w:rsid w:val="002D3697"/>
    <w:rsid w:val="002E0AF4"/>
    <w:rsid w:val="002F2A66"/>
    <w:rsid w:val="00322BE2"/>
    <w:rsid w:val="00355E53"/>
    <w:rsid w:val="0036245E"/>
    <w:rsid w:val="00377889"/>
    <w:rsid w:val="003A075D"/>
    <w:rsid w:val="003D13AB"/>
    <w:rsid w:val="003D26BD"/>
    <w:rsid w:val="003F6866"/>
    <w:rsid w:val="00410F50"/>
    <w:rsid w:val="00416DFA"/>
    <w:rsid w:val="004369FC"/>
    <w:rsid w:val="0044025E"/>
    <w:rsid w:val="004668DF"/>
    <w:rsid w:val="00532B92"/>
    <w:rsid w:val="00540269"/>
    <w:rsid w:val="005C0F73"/>
    <w:rsid w:val="005E0E2F"/>
    <w:rsid w:val="005E2CAE"/>
    <w:rsid w:val="005E3BBF"/>
    <w:rsid w:val="00671739"/>
    <w:rsid w:val="00674E9B"/>
    <w:rsid w:val="006B7AFA"/>
    <w:rsid w:val="006D6596"/>
    <w:rsid w:val="006E6D96"/>
    <w:rsid w:val="006F2B88"/>
    <w:rsid w:val="007042F8"/>
    <w:rsid w:val="00712E89"/>
    <w:rsid w:val="00777A00"/>
    <w:rsid w:val="007B3E0A"/>
    <w:rsid w:val="007C5F61"/>
    <w:rsid w:val="007D5E20"/>
    <w:rsid w:val="007E6B3A"/>
    <w:rsid w:val="00810A3D"/>
    <w:rsid w:val="00814A94"/>
    <w:rsid w:val="00843B8B"/>
    <w:rsid w:val="00880E71"/>
    <w:rsid w:val="008901D1"/>
    <w:rsid w:val="00891324"/>
    <w:rsid w:val="008C611D"/>
    <w:rsid w:val="008D2303"/>
    <w:rsid w:val="008E7706"/>
    <w:rsid w:val="00912BF3"/>
    <w:rsid w:val="00915A6B"/>
    <w:rsid w:val="00946792"/>
    <w:rsid w:val="0096147A"/>
    <w:rsid w:val="0097478C"/>
    <w:rsid w:val="0097625C"/>
    <w:rsid w:val="009A05B4"/>
    <w:rsid w:val="009A564A"/>
    <w:rsid w:val="009D6863"/>
    <w:rsid w:val="009D767A"/>
    <w:rsid w:val="009F17A2"/>
    <w:rsid w:val="00A34533"/>
    <w:rsid w:val="00A420D7"/>
    <w:rsid w:val="00A5754D"/>
    <w:rsid w:val="00A6396D"/>
    <w:rsid w:val="00A94108"/>
    <w:rsid w:val="00AA1F6E"/>
    <w:rsid w:val="00AD21FA"/>
    <w:rsid w:val="00AD442F"/>
    <w:rsid w:val="00AD5F29"/>
    <w:rsid w:val="00B302C6"/>
    <w:rsid w:val="00B30B10"/>
    <w:rsid w:val="00B45DB4"/>
    <w:rsid w:val="00B52ADC"/>
    <w:rsid w:val="00B6177F"/>
    <w:rsid w:val="00B73242"/>
    <w:rsid w:val="00BC512A"/>
    <w:rsid w:val="00BC6DAF"/>
    <w:rsid w:val="00BD121A"/>
    <w:rsid w:val="00BE187B"/>
    <w:rsid w:val="00C03894"/>
    <w:rsid w:val="00C32AC3"/>
    <w:rsid w:val="00C35FC6"/>
    <w:rsid w:val="00CE7CAC"/>
    <w:rsid w:val="00D403BE"/>
    <w:rsid w:val="00D80A8F"/>
    <w:rsid w:val="00DB6DC7"/>
    <w:rsid w:val="00DE15BD"/>
    <w:rsid w:val="00DE7823"/>
    <w:rsid w:val="00DF114B"/>
    <w:rsid w:val="00E073AE"/>
    <w:rsid w:val="00E10B45"/>
    <w:rsid w:val="00E42564"/>
    <w:rsid w:val="00EC70A9"/>
    <w:rsid w:val="00EE1EFE"/>
    <w:rsid w:val="00F10398"/>
    <w:rsid w:val="00F1233B"/>
    <w:rsid w:val="00F123D9"/>
    <w:rsid w:val="00F22BAC"/>
    <w:rsid w:val="00F82AFA"/>
    <w:rsid w:val="00F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2225"/>
  <w15:chartTrackingRefBased/>
  <w15:docId w15:val="{3476C504-8E16-4517-B676-0AF47094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1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24"/>
  </w:style>
  <w:style w:type="paragraph" w:styleId="Footer">
    <w:name w:val="footer"/>
    <w:basedOn w:val="Normal"/>
    <w:link w:val="FooterChar"/>
    <w:uiPriority w:val="99"/>
    <w:unhideWhenUsed/>
    <w:rsid w:val="00891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5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tt45</dc:creator>
  <cp:keywords/>
  <dc:description/>
  <cp:lastModifiedBy>tt45</cp:lastModifiedBy>
  <cp:revision>78</cp:revision>
  <dcterms:created xsi:type="dcterms:W3CDTF">2026-04-22T10:04:00Z</dcterms:created>
  <dcterms:modified xsi:type="dcterms:W3CDTF">2026-05-04T09:18:00Z</dcterms:modified>
</cp:coreProperties>
</file>