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Design Phase-II</w:t>
        <w:br/>
        <w:t>Solution Requirements (Functional &amp; Non-functional)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01/10/2026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SWTID-2026-1051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Implement Client Script &amp; UI Policy (Incident)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4 Marks</w:t>
            </w:r>
          </w:p>
        </w:tc>
      </w:tr>
    </w:tbl>
    <w:p/>
    <w:p>
      <w:r>
        <w:rPr>
          <w:b/>
          <w:sz w:val="22"/>
        </w:rPr>
        <w:t>Functional Requirements:</w:t>
      </w:r>
    </w:p>
    <w:p>
      <w:r>
        <w:t>Following are the functional requirements of the proposed solution.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FR No.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Functional Requirement (Epic)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Sub Requirement (Story / Sub-Task)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FR-1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Incident Creation &amp; Data Entry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Create an Incident record with required core fields such as Short description and Impact.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FR-2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High Impact Field Control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When Impact is 1 - High, Assignment group becomes mandatory and Urgency becomes read-only.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FR-3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Urgency Automation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When Impact changes to 1 - High, automatically set Urgency to 1 - High and display an informational message.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FR-4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Save Validation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When Impact is High and Assigned To is empty, prevent submission and display a clear validation message.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FR-5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Reverse Condition Behaviour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When Impact changes from High to Medium, reverse the High Impact UI Policy actions and restore normal editability.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FR-6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List Edit Protection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Prevent direct State changes through Incident list editing and instruct the user to open the Incident.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FR-7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Incident Update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Allow a valid Incident to be saved/updated when required conditions are satisfied.</w:t>
            </w:r>
          </w:p>
        </w:tc>
      </w:tr>
    </w:tbl>
    <w:p>
      <w:r>
        <w:rPr>
          <w:b/>
          <w:sz w:val="22"/>
        </w:rPr>
        <w:t>Non-functional Requirements:</w:t>
      </w:r>
    </w:p>
    <w:p>
      <w:r>
        <w:t>Following are the non-functional requirements of the proposed solution.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NFR No.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Non-Functional Requirement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NFR-1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Usability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Field behaviour and validation messages should be clear and understandable to Incident users.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NFR-2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Security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Client-side controls complement ServiceNow access controls; they do not replace server-side authorization.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NFR-3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Reliability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Rules should behave consistently on form load, field change, submit and list edit.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NFR-4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Performance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Client logic should remain lightweight and execute only for relevant events.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NFR-5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Availability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The solution operates within the availability of the ServiceNow instance and browser session.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NFR-6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Scalability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The configuration is reusable across Incident records without unnecessary external services.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t>Implement Client Script &amp; UI Policy (Incident)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