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Project Design Phase</w:t>
      </w:r>
    </w:p>
    <w:p>
      <w:pPr>
        <w:jc w:val="center"/>
      </w:pPr>
      <w:r>
        <w:rPr>
          <w:b/>
          <w:sz w:val="28"/>
        </w:rPr>
        <w:t>Solution Architecture</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pPr>
              <w:jc w:val="left"/>
            </w:pPr>
            <w:r/>
            <w:r>
              <w:rPr>
                <w:rFonts w:ascii="Arial" w:hAnsi="Arial"/>
                <w:b w:val="0"/>
                <w:sz w:val="24"/>
              </w:rPr>
              <w:t>Date</w:t>
            </w:r>
          </w:p>
        </w:tc>
        <w:tc>
          <w:tcPr>
            <w:tcW w:type="dxa" w:w="5256"/>
            <w:vAlign w:val="center"/>
          </w:tcPr>
          <w:p>
            <w:pPr>
              <w:jc w:val="left"/>
            </w:pPr>
            <w:r/>
            <w:r>
              <w:rPr>
                <w:rFonts w:ascii="Arial" w:hAnsi="Arial"/>
                <w:b w:val="0"/>
                <w:sz w:val="24"/>
              </w:rPr>
              <w:t>01/10/2026</w:t>
            </w:r>
          </w:p>
        </w:tc>
      </w:tr>
      <w:tr>
        <w:tc>
          <w:tcPr>
            <w:tcW w:type="dxa" w:w="5256"/>
            <w:vAlign w:val="center"/>
          </w:tcPr>
          <w:p>
            <w:pPr>
              <w:jc w:val="left"/>
            </w:pPr>
            <w:r/>
            <w:r>
              <w:rPr>
                <w:rFonts w:ascii="Arial" w:hAnsi="Arial"/>
                <w:b w:val="0"/>
                <w:sz w:val="24"/>
              </w:rPr>
              <w:t>Team ID</w:t>
            </w:r>
          </w:p>
        </w:tc>
        <w:tc>
          <w:tcPr>
            <w:tcW w:type="dxa" w:w="5256"/>
            <w:vAlign w:val="center"/>
          </w:tcPr>
          <w:p>
            <w:pPr>
              <w:jc w:val="left"/>
            </w:pPr>
            <w:r/>
            <w:r>
              <w:rPr>
                <w:rFonts w:ascii="Arial" w:hAnsi="Arial"/>
                <w:b w:val="0"/>
                <w:sz w:val="24"/>
              </w:rPr>
              <w:t>SWTID-2026-1051</w:t>
            </w:r>
          </w:p>
        </w:tc>
      </w:tr>
      <w:tr>
        <w:tc>
          <w:tcPr>
            <w:tcW w:type="dxa" w:w="5256"/>
            <w:vAlign w:val="center"/>
          </w:tcPr>
          <w:p>
            <w:pPr>
              <w:jc w:val="left"/>
            </w:pPr>
            <w:r/>
            <w:r>
              <w:rPr>
                <w:rFonts w:ascii="Arial" w:hAnsi="Arial"/>
                <w:b w:val="0"/>
                <w:sz w:val="24"/>
              </w:rPr>
              <w:t>Project Name</w:t>
            </w:r>
          </w:p>
        </w:tc>
        <w:tc>
          <w:tcPr>
            <w:tcW w:type="dxa" w:w="5256"/>
            <w:vAlign w:val="center"/>
          </w:tcPr>
          <w:p>
            <w:pPr>
              <w:jc w:val="left"/>
            </w:pPr>
            <w:r/>
            <w:r>
              <w:rPr>
                <w:rFonts w:ascii="Arial" w:hAnsi="Arial"/>
                <w:b w:val="0"/>
                <w:sz w:val="24"/>
              </w:rPr>
              <w:t>Implement Client Script &amp; UI Policy (Incident)</w:t>
            </w:r>
          </w:p>
        </w:tc>
      </w:tr>
      <w:tr>
        <w:tc>
          <w:tcPr>
            <w:tcW w:type="dxa" w:w="5256"/>
            <w:vAlign w:val="center"/>
          </w:tcPr>
          <w:p>
            <w:pPr>
              <w:jc w:val="left"/>
            </w:pPr>
            <w:r/>
            <w:r>
              <w:rPr>
                <w:rFonts w:ascii="Arial" w:hAnsi="Arial"/>
                <w:b w:val="0"/>
                <w:sz w:val="24"/>
              </w:rPr>
              <w:t>Maximum Marks</w:t>
            </w:r>
          </w:p>
        </w:tc>
        <w:tc>
          <w:tcPr>
            <w:tcW w:type="dxa" w:w="5256"/>
            <w:vAlign w:val="center"/>
          </w:tcPr>
          <w:p>
            <w:pPr>
              <w:jc w:val="left"/>
            </w:pPr>
            <w:r/>
            <w:r>
              <w:rPr>
                <w:rFonts w:ascii="Arial" w:hAnsi="Arial"/>
                <w:b w:val="0"/>
                <w:sz w:val="24"/>
              </w:rPr>
              <w:t>4 Marks</w:t>
            </w:r>
          </w:p>
        </w:tc>
      </w:tr>
    </w:tbl>
    <w:p/>
    <w:p>
      <w:r>
        <w:rPr>
          <w:rFonts w:ascii="Arial" w:hAnsi="Arial"/>
          <w:b/>
          <w:sz w:val="28"/>
        </w:rPr>
        <w:t>Solution Architecture:</w:t>
      </w:r>
    </w:p>
    <w:p>
      <w:r>
        <w:t>Solution architecture bridges the project problem and the technology implementation. For this project, the architecture defines the Incident user interface, UI Policy controls, Client Scripts, ServiceNow Incident data and validation feedback flow.</w:t>
      </w:r>
    </w:p>
    <w:p>
      <w:pPr>
        <w:pStyle w:val="ListBullet"/>
      </w:pPr>
      <w:r>
        <w:t>Find the appropriate ServiceNow configuration to solve the Incident data-entry problem.</w:t>
      </w:r>
    </w:p>
    <w:p>
      <w:pPr>
        <w:pStyle w:val="ListBullet"/>
      </w:pPr>
      <w:r>
        <w:t>Describe the structure and behaviour of the Incident form and list controls.</w:t>
      </w:r>
    </w:p>
    <w:p>
      <w:pPr>
        <w:pStyle w:val="ListBullet"/>
      </w:pPr>
      <w:r>
        <w:t>Define the UI Policy and Client Script features used by the solution.</w:t>
      </w:r>
    </w:p>
    <w:p>
      <w:pPr>
        <w:pStyle w:val="ListBullet"/>
      </w:pPr>
      <w:r>
        <w:t>Provide a clear implementation flow that can be configured, tested and maintained in ServiceNow.</w:t>
      </w:r>
    </w:p>
    <w:p>
      <w:r>
        <w:rPr>
          <w:rFonts w:ascii="Arial" w:hAnsi="Arial"/>
          <w:b/>
          <w:sz w:val="28"/>
        </w:rPr>
        <w:t>Solution Architecture Diagram:</w:t>
      </w:r>
    </w:p>
    <w:p>
      <w:r>
        <w:drawing>
          <wp:inline xmlns:a="http://schemas.openxmlformats.org/drawingml/2006/main" xmlns:pic="http://schemas.openxmlformats.org/drawingml/2006/picture">
            <wp:extent cx="6263640" cy="3653790"/>
            <wp:docPr id="1" name="Picture 1"/>
            <wp:cNvGraphicFramePr>
              <a:graphicFrameLocks noChangeAspect="1"/>
            </wp:cNvGraphicFramePr>
            <a:graphic>
              <a:graphicData uri="http://schemas.openxmlformats.org/drawingml/2006/picture">
                <pic:pic>
                  <pic:nvPicPr>
                    <pic:cNvPr id="0" name="service_now_solution_architecture.png"/>
                    <pic:cNvPicPr/>
                  </pic:nvPicPr>
                  <pic:blipFill>
                    <a:blip r:embed="rId9"/>
                    <a:stretch>
                      <a:fillRect/>
                    </a:stretch>
                  </pic:blipFill>
                  <pic:spPr>
                    <a:xfrm>
                      <a:off x="0" y="0"/>
                      <a:ext cx="6263640" cy="3653790"/>
                    </a:xfrm>
                    <a:prstGeom prst="rect"/>
                  </pic:spPr>
                </pic:pic>
              </a:graphicData>
            </a:graphic>
          </wp:inline>
        </w:drawing>
      </w:r>
    </w:p>
    <w:p>
      <w:pPr>
        <w:jc w:val="center"/>
      </w:pPr>
      <w:r>
        <w:rPr>
          <w:i/>
        </w:rPr>
        <w:t>Figure 1: ServiceNow Incident solution architecture and control flow</w:t>
      </w:r>
    </w:p>
    <w:sectPr w:rsidR="00FC693F" w:rsidRPr="0006063C" w:rsidSect="00034616">
      <w:footerReference w:type="default" r:id="rId10"/>
      <w:headerReference w:type="default" r:id="rId11"/>
      <w:pgSz w:w="12240" w:h="15840"/>
      <w:pgMar w:top="792"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Implement Client Script &amp; UI Policy (Incident)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