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Ideation Phase</w:t>
        <w:br/>
        <w:t>Empathize &amp; Discover</w:t>
      </w:r>
    </w:p>
    <w:tbl>
      <w:tblPr>
        <w:tblStyle w:val="TableGrid"/>
        <w:tblW w:type="auto" w:w="0"/>
        <w:jc w:val="center"/>
        <w:tblLook w:firstColumn="1" w:firstRow="1" w:lastColumn="0" w:lastRow="0" w:noHBand="0" w:noVBand="1" w:val="04A0"/>
      </w:tblPr>
      <w:tblGrid>
        <w:gridCol w:w="5256"/>
        <w:gridCol w:w="5256"/>
      </w:tblGrid>
      <w:tr>
        <w:tc>
          <w:tcPr>
            <w:tcW w:type="dxa" w:w="5256"/>
            <w:tcMar>
              <w:top w:w="90" w:type="dxa"/>
              <w:start w:w="90" w:type="dxa"/>
              <w:bottom w:w="90" w:type="dxa"/>
              <w:end w:w="90" w:type="dxa"/>
            </w:tcMar>
            <w:vAlign w:val="center"/>
          </w:tcPr>
          <w:p>
            <w:pPr>
              <w:jc w:val="left"/>
            </w:pPr>
            <w:r/>
            <w:r>
              <w:rPr>
                <w:rFonts w:ascii="Arial" w:hAnsi="Arial"/>
                <w:b w:val="0"/>
                <w:sz w:val="20"/>
              </w:rPr>
              <w:t>Date</w:t>
            </w:r>
          </w:p>
        </w:tc>
        <w:tc>
          <w:tcPr>
            <w:tcW w:type="dxa" w:w="5256"/>
            <w:tcMar>
              <w:top w:w="90" w:type="dxa"/>
              <w:start w:w="90" w:type="dxa"/>
              <w:bottom w:w="90" w:type="dxa"/>
              <w:end w:w="90" w:type="dxa"/>
            </w:tcMar>
            <w:vAlign w:val="center"/>
          </w:tcPr>
          <w:p>
            <w:pPr>
              <w:jc w:val="left"/>
            </w:pPr>
            <w:r/>
            <w:r>
              <w:rPr>
                <w:rFonts w:ascii="Arial" w:hAnsi="Arial"/>
                <w:b w:val="0"/>
                <w:sz w:val="20"/>
              </w:rPr>
              <w:t>31 January 2025</w:t>
            </w:r>
          </w:p>
        </w:tc>
      </w:tr>
      <w:tr>
        <w:tc>
          <w:tcPr>
            <w:tcW w:type="dxa" w:w="5256"/>
            <w:tcMar>
              <w:top w:w="90" w:type="dxa"/>
              <w:start w:w="90" w:type="dxa"/>
              <w:bottom w:w="90" w:type="dxa"/>
              <w:end w:w="90" w:type="dxa"/>
            </w:tcMar>
            <w:vAlign w:val="center"/>
          </w:tcPr>
          <w:p>
            <w:pPr>
              <w:jc w:val="left"/>
            </w:pPr>
            <w:r/>
            <w:r>
              <w:rPr>
                <w:rFonts w:ascii="Arial" w:hAnsi="Arial"/>
                <w:b w:val="0"/>
                <w:sz w:val="20"/>
              </w:rPr>
              <w:t>Team ID</w:t>
            </w:r>
          </w:p>
        </w:tc>
        <w:tc>
          <w:tcPr>
            <w:tcW w:type="dxa" w:w="5256"/>
            <w:tcMar>
              <w:top w:w="90" w:type="dxa"/>
              <w:start w:w="90" w:type="dxa"/>
              <w:bottom w:w="90" w:type="dxa"/>
              <w:end w:w="90" w:type="dxa"/>
            </w:tcMar>
            <w:vAlign w:val="center"/>
          </w:tcPr>
          <w:p>
            <w:pPr>
              <w:jc w:val="left"/>
            </w:pPr>
            <w:r/>
            <w:r>
              <w:rPr>
                <w:rFonts w:ascii="Arial" w:hAnsi="Arial"/>
                <w:b w:val="0"/>
                <w:sz w:val="20"/>
              </w:rPr>
              <w:t>________________</w:t>
            </w:r>
          </w:p>
        </w:tc>
      </w:tr>
      <w:tr>
        <w:tc>
          <w:tcPr>
            <w:tcW w:type="dxa" w:w="5256"/>
            <w:tcMar>
              <w:top w:w="90" w:type="dxa"/>
              <w:start w:w="90" w:type="dxa"/>
              <w:bottom w:w="90" w:type="dxa"/>
              <w:end w:w="90" w:type="dxa"/>
            </w:tcMar>
            <w:vAlign w:val="center"/>
          </w:tcPr>
          <w:p>
            <w:pPr>
              <w:jc w:val="left"/>
            </w:pPr>
            <w:r/>
            <w:r>
              <w:rPr>
                <w:rFonts w:ascii="Arial" w:hAnsi="Arial"/>
                <w:b w:val="0"/>
                <w:sz w:val="20"/>
              </w:rPr>
              <w:t>Project Name</w:t>
            </w:r>
          </w:p>
        </w:tc>
        <w:tc>
          <w:tcPr>
            <w:tcW w:type="dxa" w:w="5256"/>
            <w:tcMar>
              <w:top w:w="90" w:type="dxa"/>
              <w:start w:w="90" w:type="dxa"/>
              <w:bottom w:w="90" w:type="dxa"/>
              <w:end w:w="90" w:type="dxa"/>
            </w:tcMar>
            <w:vAlign w:val="center"/>
          </w:tcPr>
          <w:p>
            <w:pPr>
              <w:jc w:val="left"/>
            </w:pPr>
            <w:r/>
            <w:r>
              <w:rPr>
                <w:rFonts w:ascii="Arial" w:hAnsi="Arial"/>
                <w:b w:val="0"/>
                <w:sz w:val="20"/>
              </w:rPr>
              <w:t>Implement Client Script &amp; UI Policy (Incident)</w:t>
            </w:r>
          </w:p>
        </w:tc>
      </w:tr>
      <w:tr>
        <w:tc>
          <w:tcPr>
            <w:tcW w:type="dxa" w:w="5256"/>
            <w:tcMar>
              <w:top w:w="90" w:type="dxa"/>
              <w:start w:w="90" w:type="dxa"/>
              <w:bottom w:w="90" w:type="dxa"/>
              <w:end w:w="90" w:type="dxa"/>
            </w:tcMar>
            <w:vAlign w:val="center"/>
          </w:tcPr>
          <w:p>
            <w:pPr>
              <w:jc w:val="left"/>
            </w:pPr>
            <w:r/>
            <w:r>
              <w:rPr>
                <w:rFonts w:ascii="Arial" w:hAnsi="Arial"/>
                <w:b w:val="0"/>
                <w:sz w:val="20"/>
              </w:rPr>
              <w:t>Maximum Marks</w:t>
            </w:r>
          </w:p>
        </w:tc>
        <w:tc>
          <w:tcPr>
            <w:tcW w:type="dxa" w:w="5256"/>
            <w:tcMar>
              <w:top w:w="90" w:type="dxa"/>
              <w:start w:w="90" w:type="dxa"/>
              <w:bottom w:w="90" w:type="dxa"/>
              <w:end w:w="90" w:type="dxa"/>
            </w:tcMar>
            <w:vAlign w:val="center"/>
          </w:tcPr>
          <w:p>
            <w:pPr>
              <w:jc w:val="left"/>
            </w:pPr>
            <w:r/>
            <w:r>
              <w:rPr>
                <w:rFonts w:ascii="Arial" w:hAnsi="Arial"/>
                <w:b w:val="0"/>
                <w:sz w:val="20"/>
              </w:rPr>
              <w:t>4 Marks</w:t>
            </w:r>
          </w:p>
        </w:tc>
      </w:tr>
    </w:tbl>
    <w:p/>
    <w:p>
      <w:r>
        <w:rPr>
          <w:rFonts w:ascii="Arial" w:hAnsi="Arial"/>
          <w:b/>
          <w:sz w:val="22"/>
        </w:rPr>
        <w:t>Empathy Map Canvas:</w:t>
      </w:r>
    </w:p>
    <w:p>
      <w:r>
        <w:t>An empathy map is a simple, easy-to-digest visual that captures knowledge about a user's behaviours and attitudes. For this project, the map represents a ServiceNow Incident user who needs to create, update and manage Incident records accurately.</w:t>
      </w:r>
    </w:p>
    <w:p>
      <w:r>
        <w:t>The exercise focuses on the user's goals and challenges while working with Impact, Assignment group, Assigned To, Urgency, State and Incident submission behaviour.</w:t>
      </w:r>
    </w:p>
    <w:p>
      <w:r>
        <w:rPr>
          <w:rFonts w:ascii="Arial" w:hAnsi="Arial"/>
          <w:b/>
          <w:sz w:val="22"/>
        </w:rPr>
        <w:t>Project Empathy Map — ServiceNow Incident User</w:t>
      </w:r>
    </w:p>
    <w:tbl>
      <w:tblPr>
        <w:tblStyle w:val="TableGrid"/>
        <w:tblW w:type="auto" w:w="0"/>
        <w:jc w:val="center"/>
        <w:tblLook w:firstColumn="1" w:firstRow="1" w:lastColumn="0" w:lastRow="0" w:noHBand="0" w:noVBand="1" w:val="04A0"/>
      </w:tblPr>
      <w:tblGrid>
        <w:gridCol w:w="3504"/>
        <w:gridCol w:w="3504"/>
        <w:gridCol w:w="3504"/>
      </w:tblGrid>
      <w:tr>
        <w:tc>
          <w:tcPr>
            <w:tcW w:type="dxa" w:w="3504"/>
          </w:tcPr>
          <w:p/>
        </w:tc>
        <w:tc>
          <w:tcPr>
            <w:tcW w:type="dxa" w:w="3504"/>
            <w:tcMar>
              <w:top w:w="90" w:type="dxa"/>
              <w:start w:w="90" w:type="dxa"/>
              <w:bottom w:w="90" w:type="dxa"/>
              <w:end w:w="90" w:type="dxa"/>
            </w:tcMar>
            <w:vAlign w:val="center"/>
            <w:shd w:fill="EAF2F8"/>
          </w:tcPr>
          <w:p>
            <w:pPr>
              <w:jc w:val="center"/>
            </w:pPr>
            <w:r/>
            <w:r>
              <w:rPr>
                <w:rFonts w:ascii="Arial" w:hAnsi="Arial"/>
                <w:b w:val="0"/>
                <w:sz w:val="17"/>
              </w:rPr>
              <w:t>THINK &amp; FEEL</w:t>
              <w:br/>
              <w:br/>
              <w:t>• Wants incidents to be entered correctly</w:t>
              <w:br/>
              <w:t>• Wants clear validation</w:t>
              <w:br/>
              <w:t>• Worries about incomplete records</w:t>
              <w:br/>
              <w:t>• Wants predictable field behaviour</w:t>
            </w:r>
          </w:p>
        </w:tc>
        <w:tc>
          <w:tcPr>
            <w:tcW w:type="dxa" w:w="3504"/>
          </w:tcPr>
          <w:p/>
        </w:tc>
      </w:tr>
      <w:tr>
        <w:tc>
          <w:tcPr>
            <w:tcW w:type="dxa" w:w="3504"/>
            <w:tcMar>
              <w:top w:w="90" w:type="dxa"/>
              <w:start w:w="90" w:type="dxa"/>
              <w:bottom w:w="90" w:type="dxa"/>
              <w:end w:w="90" w:type="dxa"/>
            </w:tcMar>
            <w:vAlign w:val="center"/>
            <w:shd w:fill="EAF2F8"/>
          </w:tcPr>
          <w:p>
            <w:pPr>
              <w:jc w:val="center"/>
            </w:pPr>
            <w:r/>
            <w:r>
              <w:rPr>
                <w:rFonts w:ascii="Arial" w:hAnsi="Arial"/>
                <w:b w:val="0"/>
                <w:sz w:val="17"/>
              </w:rPr>
              <w:t>HEAR</w:t>
              <w:br/>
              <w:br/>
              <w:t>• Team/admin instructions</w:t>
              <w:br/>
              <w:t>• Incident handling rules</w:t>
              <w:br/>
              <w:t>• Feedback when required fields are missing</w:t>
              <w:br/>
              <w:t>• Guidance to open an Incident instead of list-editing State</w:t>
            </w:r>
          </w:p>
        </w:tc>
        <w:tc>
          <w:tcPr>
            <w:tcW w:type="dxa" w:w="3504"/>
            <w:vMerge w:val="restart"/>
            <w:tcMar>
              <w:top w:w="90" w:type="dxa"/>
              <w:start w:w="90" w:type="dxa"/>
              <w:bottom w:w="90" w:type="dxa"/>
              <w:end w:w="90" w:type="dxa"/>
            </w:tcMar>
            <w:vAlign w:val="center"/>
            <w:shd w:fill="DDEBF7"/>
          </w:tcPr>
          <w:p>
            <w:pPr>
              <w:jc w:val="center"/>
            </w:pPr>
            <w:r/>
            <w:r>
              <w:rPr>
                <w:rFonts w:ascii="Arial" w:hAnsi="Arial"/>
                <w:b/>
                <w:sz w:val="21"/>
              </w:rPr>
              <w:t>SERVICE NOW</w:t>
              <w:br/>
              <w:t>INCIDENT USER</w:t>
              <w:br/>
              <w:br/>
              <w:t>Creates • Updates • Validates</w:t>
            </w:r>
          </w:p>
        </w:tc>
        <w:tc>
          <w:tcPr>
            <w:tcW w:type="dxa" w:w="3504"/>
            <w:tcMar>
              <w:top w:w="90" w:type="dxa"/>
              <w:start w:w="90" w:type="dxa"/>
              <w:bottom w:w="90" w:type="dxa"/>
              <w:end w:w="90" w:type="dxa"/>
            </w:tcMar>
            <w:vAlign w:val="center"/>
            <w:shd w:fill="EAF2F8"/>
          </w:tcPr>
          <w:p>
            <w:pPr>
              <w:jc w:val="center"/>
            </w:pPr>
            <w:r/>
            <w:r>
              <w:rPr>
                <w:rFonts w:ascii="Arial" w:hAnsi="Arial"/>
                <w:b w:val="0"/>
                <w:sz w:val="17"/>
              </w:rPr>
              <w:t>SEE</w:t>
              <w:br/>
              <w:br/>
              <w:t>• Impact, Urgency and Assignment fields</w:t>
              <w:br/>
              <w:t>• Mandatory indicators</w:t>
              <w:br/>
              <w:t>• Validation messages</w:t>
              <w:br/>
              <w:t>• Incident list and form views</w:t>
            </w:r>
          </w:p>
        </w:tc>
      </w:tr>
      <w:tr>
        <w:tc>
          <w:tcPr>
            <w:tcW w:type="dxa" w:w="3504"/>
            <w:tcMar>
              <w:top w:w="90" w:type="dxa"/>
              <w:start w:w="90" w:type="dxa"/>
              <w:bottom w:w="90" w:type="dxa"/>
              <w:end w:w="90" w:type="dxa"/>
            </w:tcMar>
            <w:vAlign w:val="center"/>
            <w:shd w:fill="EAF2F8"/>
          </w:tcPr>
          <w:p>
            <w:pPr>
              <w:jc w:val="center"/>
            </w:pPr>
            <w:r/>
            <w:r>
              <w:rPr>
                <w:rFonts w:ascii="Arial" w:hAnsi="Arial"/>
                <w:b w:val="0"/>
                <w:sz w:val="17"/>
              </w:rPr>
              <w:t>SAY &amp; DO</w:t>
              <w:br/>
              <w:br/>
              <w:t>• Creates and updates Incidents</w:t>
              <w:br/>
              <w:t>• Assigns users/groups</w:t>
              <w:br/>
              <w:t>• Changes Impact when circumstances change</w:t>
              <w:br/>
              <w:t>• Uses form and list views</w:t>
            </w:r>
          </w:p>
        </w:tc>
        <w:tc>
          <w:tcPr>
            <w:tcW w:type="dxa" w:w="3504"/>
            <w:vMerge/>
          </w:tcPr>
          <w:p/>
        </w:tc>
        <w:tc>
          <w:tcPr>
            <w:tcW w:type="dxa" w:w="3504"/>
          </w:tcPr>
          <w:p/>
        </w:tc>
      </w:tr>
      <w:tr>
        <w:tc>
          <w:tcPr>
            <w:tcW w:type="dxa" w:w="3504"/>
          </w:tcPr>
          <w:p/>
        </w:tc>
        <w:tc>
          <w:tcPr>
            <w:tcW w:type="dxa" w:w="3504"/>
            <w:vMerge/>
          </w:tcPr>
          <w:p/>
        </w:tc>
        <w:tc>
          <w:tcPr>
            <w:tcW w:type="dxa" w:w="3504"/>
            <w:tcMar>
              <w:top w:w="90" w:type="dxa"/>
              <w:start w:w="90" w:type="dxa"/>
              <w:bottom w:w="90" w:type="dxa"/>
              <w:end w:w="90" w:type="dxa"/>
            </w:tcMar>
            <w:vAlign w:val="center"/>
            <w:shd w:fill="EAF2F8"/>
          </w:tcPr>
          <w:p>
            <w:pPr>
              <w:jc w:val="center"/>
            </w:pPr>
            <w:r/>
            <w:r>
              <w:rPr>
                <w:rFonts w:ascii="Arial" w:hAnsi="Arial"/>
                <w:b w:val="0"/>
                <w:sz w:val="17"/>
              </w:rPr>
              <w:t>GOALS / GAIN</w:t>
              <w:br/>
              <w:br/>
              <w:t>• Save valid Incident records</w:t>
              <w:br/>
              <w:t>• Correct urgency automation</w:t>
              <w:br/>
              <w:t>• Clear form behaviour</w:t>
              <w:br/>
              <w:t>• Faster and more consistent Incident handling</w:t>
            </w:r>
          </w:p>
        </w:tc>
      </w:tr>
      <w:tr>
        <w:tc>
          <w:tcPr>
            <w:tcW w:type="dxa" w:w="3504"/>
            <w:tcMar>
              <w:top w:w="90" w:type="dxa"/>
              <w:start w:w="90" w:type="dxa"/>
              <w:bottom w:w="90" w:type="dxa"/>
              <w:end w:w="90" w:type="dxa"/>
            </w:tcMar>
            <w:vAlign w:val="center"/>
            <w:shd w:fill="F4F4F4"/>
          </w:tcPr>
          <w:p>
            <w:pPr>
              <w:jc w:val="center"/>
            </w:pPr>
            <w:r/>
            <w:r>
              <w:rPr>
                <w:rFonts w:ascii="Arial" w:hAnsi="Arial"/>
                <w:b w:val="0"/>
                <w:sz w:val="17"/>
              </w:rPr>
              <w:t>PAIN</w:t>
              <w:br/>
              <w:br/>
              <w:t>• Missing required information</w:t>
              <w:br/>
              <w:t>• Incorrect field values</w:t>
              <w:br/>
              <w:t>• Unexpected save failures</w:t>
              <w:br/>
              <w:t>• Uncontrolled list editing</w:t>
            </w:r>
          </w:p>
        </w:tc>
        <w:tc>
          <w:tcPr>
            <w:tcW w:type="dxa" w:w="3504"/>
          </w:tcPr>
          <w:p/>
        </w:tc>
        <w:tc>
          <w:tcPr>
            <w:tcW w:type="dxa" w:w="3504"/>
            <w:tcMar>
              <w:top w:w="90" w:type="dxa"/>
              <w:start w:w="90" w:type="dxa"/>
              <w:bottom w:w="90" w:type="dxa"/>
              <w:end w:w="90" w:type="dxa"/>
            </w:tcMar>
            <w:vAlign w:val="center"/>
            <w:shd w:fill="F4F4F4"/>
          </w:tcPr>
          <w:p>
            <w:pPr>
              <w:jc w:val="center"/>
            </w:pPr>
            <w:r/>
            <w:r>
              <w:rPr>
                <w:rFonts w:ascii="Arial" w:hAnsi="Arial"/>
                <w:b w:val="0"/>
                <w:sz w:val="17"/>
              </w:rPr>
              <w:t>NEEDS</w:t>
              <w:br/>
              <w:br/>
              <w:t>• Dynamic field rules</w:t>
              <w:br/>
              <w:t>• Automatic updates</w:t>
              <w:br/>
              <w:t>• Save validation</w:t>
              <w:br/>
              <w:t>• Controlled State editing</w:t>
            </w:r>
          </w:p>
        </w:tc>
      </w:tr>
    </w:tbl>
    <w:p/>
    <w:p>
      <w:r>
        <w:rPr>
          <w:rFonts w:ascii="Arial" w:hAnsi="Arial"/>
          <w:b/>
          <w:sz w:val="22"/>
        </w:rPr>
        <w:t>Project Context</w:t>
      </w:r>
    </w:p>
    <w:p>
      <w:r>
        <w:t>The project uses a High Impact UI Policy together with onChange, onSubmit and onCellEdit Client Scripts. The combined behaviour makes Incident entry more consistent, automates urgency handling, prevents invalid submission and blocks direct State changes through list editing.</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Implement Client Script &amp; UI Policy (Incident)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