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Project Design Phase</w:t>
      </w:r>
    </w:p>
    <w:p>
      <w:pPr>
        <w:jc w:val="center"/>
      </w:pPr>
      <w:r>
        <w:rPr>
          <w:b/>
          <w:sz w:val="30"/>
        </w:rPr>
        <w:t>Proposed Solution Template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jc w:val="left"/>
            </w:pPr>
            <w:r/>
            <w:r>
              <w:rPr>
                <w:rFonts w:ascii="Arial" w:hAnsi="Arial"/>
                <w:b w:val="0"/>
                <w:sz w:val="24"/>
              </w:rPr>
              <w:t>Date</w:t>
            </w:r>
          </w:p>
        </w:tc>
        <w:tc>
          <w:tcPr>
            <w:tcW w:type="dxa" w:w="5256"/>
            <w:vAlign w:val="center"/>
          </w:tcPr>
          <w:p>
            <w:pPr>
              <w:jc w:val="left"/>
            </w:pPr>
            <w:r/>
            <w:r>
              <w:rPr>
                <w:rFonts w:ascii="Arial" w:hAnsi="Arial"/>
                <w:b w:val="0"/>
                <w:sz w:val="24"/>
              </w:rPr>
              <w:t>1 October 2026</w:t>
            </w:r>
          </w:p>
        </w:tc>
      </w:tr>
      <w:tr>
        <w:tc>
          <w:tcPr>
            <w:tcW w:type="dxa" w:w="5256"/>
            <w:vAlign w:val="center"/>
          </w:tcPr>
          <w:p>
            <w:pPr>
              <w:jc w:val="left"/>
            </w:pPr>
            <w:r/>
            <w:r>
              <w:rPr>
                <w:rFonts w:ascii="Arial" w:hAnsi="Arial"/>
                <w:b w:val="0"/>
                <w:sz w:val="24"/>
              </w:rPr>
              <w:t>Team ID</w:t>
            </w:r>
          </w:p>
        </w:tc>
        <w:tc>
          <w:tcPr>
            <w:tcW w:type="dxa" w:w="5256"/>
            <w:vAlign w:val="center"/>
          </w:tcPr>
          <w:p>
            <w:pPr>
              <w:jc w:val="left"/>
            </w:pPr>
            <w:r/>
            <w:r>
              <w:rPr>
                <w:rFonts w:ascii="Arial" w:hAnsi="Arial"/>
                <w:b w:val="0"/>
                <w:sz w:val="24"/>
              </w:rPr>
              <w:t>________________</w:t>
            </w:r>
          </w:p>
        </w:tc>
      </w:tr>
      <w:tr>
        <w:tc>
          <w:tcPr>
            <w:tcW w:type="dxa" w:w="5256"/>
            <w:vAlign w:val="center"/>
          </w:tcPr>
          <w:p>
            <w:pPr>
              <w:jc w:val="left"/>
            </w:pPr>
            <w:r/>
            <w:r>
              <w:rPr>
                <w:rFonts w:ascii="Arial" w:hAnsi="Arial"/>
                <w:b w:val="0"/>
                <w:sz w:val="24"/>
              </w:rPr>
              <w:t>Project Name</w:t>
            </w:r>
          </w:p>
        </w:tc>
        <w:tc>
          <w:tcPr>
            <w:tcW w:type="dxa" w:w="5256"/>
            <w:vAlign w:val="center"/>
          </w:tcPr>
          <w:p>
            <w:pPr>
              <w:jc w:val="left"/>
            </w:pPr>
            <w:r/>
            <w:r>
              <w:rPr>
                <w:rFonts w:ascii="Arial" w:hAnsi="Arial"/>
                <w:b w:val="0"/>
                <w:sz w:val="24"/>
              </w:rPr>
              <w:t>Implement Client Script &amp; UI Policy (Incident)</w:t>
            </w:r>
          </w:p>
        </w:tc>
      </w:tr>
      <w:tr>
        <w:tc>
          <w:tcPr>
            <w:tcW w:type="dxa" w:w="5256"/>
            <w:vAlign w:val="center"/>
          </w:tcPr>
          <w:p>
            <w:pPr>
              <w:jc w:val="left"/>
            </w:pPr>
            <w:r/>
            <w:r>
              <w:rPr>
                <w:rFonts w:ascii="Arial" w:hAnsi="Arial"/>
                <w:b w:val="0"/>
                <w:sz w:val="24"/>
              </w:rPr>
              <w:t>Maximum Marks</w:t>
            </w:r>
          </w:p>
        </w:tc>
        <w:tc>
          <w:tcPr>
            <w:tcW w:type="dxa" w:w="5256"/>
            <w:vAlign w:val="center"/>
          </w:tcPr>
          <w:p>
            <w:pPr>
              <w:jc w:val="left"/>
            </w:pPr>
            <w:r/>
            <w:r>
              <w:rPr>
                <w:rFonts w:ascii="Arial" w:hAnsi="Arial"/>
                <w:b w:val="0"/>
                <w:sz w:val="24"/>
              </w:rPr>
              <w:t>2 Marks</w:t>
            </w:r>
          </w:p>
        </w:tc>
      </w:tr>
    </w:tbl>
    <w:p/>
    <w:p>
      <w:r>
        <w:rPr>
          <w:rFonts w:ascii="Arial" w:hAnsi="Arial"/>
          <w:b/>
          <w:sz w:val="28"/>
        </w:rP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jc w:val="center"/>
            </w:pPr>
            <w:r/>
            <w:r>
              <w:rPr>
                <w:rFonts w:ascii="Arial" w:hAnsi="Arial"/>
                <w:b/>
                <w:sz w:val="24"/>
              </w:rPr>
              <w:t>S.No.</w:t>
            </w:r>
          </w:p>
        </w:tc>
        <w:tc>
          <w:tcPr>
            <w:tcW w:type="dxa" w:w="3504"/>
            <w:vAlign w:val="center"/>
            <w:shd w:fill="D9EAF7"/>
          </w:tcPr>
          <w:p>
            <w:pPr>
              <w:jc w:val="center"/>
            </w:pPr>
            <w:r/>
            <w:r>
              <w:rPr>
                <w:rFonts w:ascii="Arial" w:hAnsi="Arial"/>
                <w:b/>
                <w:sz w:val="24"/>
              </w:rPr>
              <w:t>Parameter</w:t>
            </w:r>
          </w:p>
        </w:tc>
        <w:tc>
          <w:tcPr>
            <w:tcW w:type="dxa" w:w="3504"/>
            <w:vAlign w:val="center"/>
            <w:shd w:fill="D9EAF7"/>
          </w:tcPr>
          <w:p>
            <w:pPr>
              <w:jc w:val="center"/>
            </w:pPr>
            <w:r/>
            <w:r>
              <w:rPr>
                <w:rFonts w:ascii="Arial" w:hAnsi="Arial"/>
                <w:b/>
                <w:sz w:val="24"/>
              </w:rPr>
              <w:t>Description</w:t>
            </w:r>
          </w:p>
        </w:tc>
      </w:tr>
      <w:tr>
        <w:tc>
          <w:tcPr>
            <w:tcW w:type="dxa" w:w="3504"/>
            <w:vAlign w:val="center"/>
          </w:tcPr>
          <w:p>
            <w:pPr>
              <w:jc w:val="center"/>
            </w:pPr>
            <w:r/>
            <w:r>
              <w:rPr>
                <w:rFonts w:ascii="Arial" w:hAnsi="Arial"/>
                <w:b w:val="0"/>
                <w:sz w:val="24"/>
              </w:rPr>
              <w:t>1.</w:t>
            </w:r>
          </w:p>
        </w:tc>
        <w:tc>
          <w:tcPr>
            <w:tcW w:type="dxa" w:w="3504"/>
            <w:vAlign w:val="center"/>
          </w:tcPr>
          <w:p>
            <w:pPr>
              <w:jc w:val="left"/>
            </w:pPr>
            <w:r/>
            <w:r>
              <w:rPr>
                <w:rFonts w:ascii="Arial" w:hAnsi="Arial"/>
                <w:b w:val="0"/>
                <w:sz w:val="24"/>
              </w:rPr>
              <w:t>Problem Statement (Problem to be solved)</w:t>
            </w:r>
          </w:p>
        </w:tc>
        <w:tc>
          <w:tcPr>
            <w:tcW w:type="dxa" w:w="3504"/>
            <w:vAlign w:val="center"/>
          </w:tcPr>
          <w:p>
            <w:pPr>
              <w:jc w:val="left"/>
            </w:pPr>
            <w:r/>
            <w:r>
              <w:rPr>
                <w:rFonts w:ascii="Arial" w:hAnsi="Arial"/>
                <w:b w:val="0"/>
                <w:sz w:val="24"/>
              </w:rPr>
              <w:t>Incident users need controlled, context-sensitive field behaviour. High Impact incidents must enforce assignment information, automate Urgency, prevent invalid submission, and prevent direct State changes through list editing.</w:t>
            </w:r>
          </w:p>
        </w:tc>
      </w:tr>
      <w:tr>
        <w:tc>
          <w:tcPr>
            <w:tcW w:type="dxa" w:w="3504"/>
            <w:vAlign w:val="center"/>
          </w:tcPr>
          <w:p>
            <w:pPr>
              <w:jc w:val="center"/>
            </w:pPr>
            <w:r/>
            <w:r>
              <w:rPr>
                <w:rFonts w:ascii="Arial" w:hAnsi="Arial"/>
                <w:b w:val="0"/>
                <w:sz w:val="24"/>
              </w:rPr>
              <w:t>2.</w:t>
            </w:r>
          </w:p>
        </w:tc>
        <w:tc>
          <w:tcPr>
            <w:tcW w:type="dxa" w:w="3504"/>
            <w:vAlign w:val="center"/>
          </w:tcPr>
          <w:p>
            <w:pPr>
              <w:jc w:val="left"/>
            </w:pPr>
            <w:r/>
            <w:r>
              <w:rPr>
                <w:rFonts w:ascii="Arial" w:hAnsi="Arial"/>
                <w:b w:val="0"/>
                <w:sz w:val="24"/>
              </w:rPr>
              <w:t>Idea / Solution description</w:t>
            </w:r>
          </w:p>
        </w:tc>
        <w:tc>
          <w:tcPr>
            <w:tcW w:type="dxa" w:w="3504"/>
            <w:vAlign w:val="center"/>
          </w:tcPr>
          <w:p>
            <w:pPr>
              <w:jc w:val="left"/>
            </w:pPr>
            <w:r/>
            <w:r>
              <w:rPr>
                <w:rFonts w:ascii="Arial" w:hAnsi="Arial"/>
                <w:b w:val="0"/>
                <w:sz w:val="24"/>
              </w:rPr>
              <w:t>Implement a ServiceNow Incident solution using one High Impact UI Policy and Client Scripts for onChange, onSubmit and onCellEdit events. The controls dynamically guide users and validate Incident updates.</w:t>
            </w:r>
          </w:p>
        </w:tc>
      </w:tr>
      <w:tr>
        <w:tc>
          <w:tcPr>
            <w:tcW w:type="dxa" w:w="3504"/>
            <w:vAlign w:val="center"/>
          </w:tcPr>
          <w:p>
            <w:pPr>
              <w:jc w:val="center"/>
            </w:pPr>
            <w:r/>
            <w:r>
              <w:rPr>
                <w:rFonts w:ascii="Arial" w:hAnsi="Arial"/>
                <w:b w:val="0"/>
                <w:sz w:val="24"/>
              </w:rPr>
              <w:t>3.</w:t>
            </w:r>
          </w:p>
        </w:tc>
        <w:tc>
          <w:tcPr>
            <w:tcW w:type="dxa" w:w="3504"/>
            <w:vAlign w:val="center"/>
          </w:tcPr>
          <w:p>
            <w:pPr>
              <w:jc w:val="left"/>
            </w:pPr>
            <w:r/>
            <w:r>
              <w:rPr>
                <w:rFonts w:ascii="Arial" w:hAnsi="Arial"/>
                <w:b w:val="0"/>
                <w:sz w:val="24"/>
              </w:rPr>
              <w:t>Novelty / Uniqueness</w:t>
            </w:r>
          </w:p>
        </w:tc>
        <w:tc>
          <w:tcPr>
            <w:tcW w:type="dxa" w:w="3504"/>
            <w:vAlign w:val="center"/>
          </w:tcPr>
          <w:p>
            <w:pPr>
              <w:jc w:val="left"/>
            </w:pPr>
            <w:r/>
            <w:r>
              <w:rPr>
                <w:rFonts w:ascii="Arial" w:hAnsi="Arial"/>
                <w:b w:val="0"/>
                <w:sz w:val="24"/>
              </w:rPr>
              <w:t>The solution combines declarative UI Policy behaviour with event-specific Client Scripts: automatic Urgency handling, save-time validation, reverse-condition behaviour and list-edit protection in one lightweight Incident workflow.</w:t>
            </w:r>
          </w:p>
        </w:tc>
      </w:tr>
      <w:tr>
        <w:tc>
          <w:tcPr>
            <w:tcW w:type="dxa" w:w="3504"/>
            <w:vAlign w:val="center"/>
          </w:tcPr>
          <w:p>
            <w:pPr>
              <w:jc w:val="center"/>
            </w:pPr>
            <w:r/>
            <w:r>
              <w:rPr>
                <w:rFonts w:ascii="Arial" w:hAnsi="Arial"/>
                <w:b w:val="0"/>
                <w:sz w:val="24"/>
              </w:rPr>
              <w:t>4.</w:t>
            </w:r>
          </w:p>
        </w:tc>
        <w:tc>
          <w:tcPr>
            <w:tcW w:type="dxa" w:w="3504"/>
            <w:vAlign w:val="center"/>
          </w:tcPr>
          <w:p>
            <w:pPr>
              <w:jc w:val="left"/>
            </w:pPr>
            <w:r/>
            <w:r>
              <w:rPr>
                <w:rFonts w:ascii="Arial" w:hAnsi="Arial"/>
                <w:b w:val="0"/>
                <w:sz w:val="24"/>
              </w:rPr>
              <w:t>Social Impact / Customer Satisfaction</w:t>
            </w:r>
          </w:p>
        </w:tc>
        <w:tc>
          <w:tcPr>
            <w:tcW w:type="dxa" w:w="3504"/>
            <w:vAlign w:val="center"/>
          </w:tcPr>
          <w:p>
            <w:pPr>
              <w:jc w:val="left"/>
            </w:pPr>
            <w:r/>
            <w:r>
              <w:rPr>
                <w:rFonts w:ascii="Arial" w:hAnsi="Arial"/>
                <w:b w:val="0"/>
                <w:sz w:val="24"/>
              </w:rPr>
              <w:t>Reduces avoidable data-entry errors, gives immediate feedback, makes Incident handling more predictable and supports cleaner Incident records for support teams.</w:t>
            </w:r>
          </w:p>
        </w:tc>
      </w:tr>
      <w:tr>
        <w:tc>
          <w:tcPr>
            <w:tcW w:type="dxa" w:w="3504"/>
            <w:vAlign w:val="center"/>
          </w:tcPr>
          <w:p>
            <w:pPr>
              <w:jc w:val="center"/>
            </w:pPr>
            <w:r/>
            <w:r>
              <w:rPr>
                <w:rFonts w:ascii="Arial" w:hAnsi="Arial"/>
                <w:b w:val="0"/>
                <w:sz w:val="24"/>
              </w:rPr>
              <w:t>5.</w:t>
            </w:r>
          </w:p>
        </w:tc>
        <w:tc>
          <w:tcPr>
            <w:tcW w:type="dxa" w:w="3504"/>
            <w:vAlign w:val="center"/>
          </w:tcPr>
          <w:p>
            <w:pPr>
              <w:jc w:val="left"/>
            </w:pPr>
            <w:r/>
            <w:r>
              <w:rPr>
                <w:rFonts w:ascii="Arial" w:hAnsi="Arial"/>
                <w:b w:val="0"/>
                <w:sz w:val="24"/>
              </w:rPr>
              <w:t>Business Model (Revenue Model)</w:t>
            </w:r>
          </w:p>
        </w:tc>
        <w:tc>
          <w:tcPr>
            <w:tcW w:type="dxa" w:w="3504"/>
            <w:vAlign w:val="center"/>
          </w:tcPr>
          <w:p>
            <w:pPr>
              <w:jc w:val="left"/>
            </w:pPr>
            <w:r/>
            <w:r>
              <w:rPr>
                <w:rFonts w:ascii="Arial" w:hAnsi="Arial"/>
                <w:b w:val="0"/>
                <w:sz w:val="24"/>
              </w:rPr>
              <w:t>This micro-project is an internal ServiceNow configuration solution rather than a standalone commercial product. If packaged as a service, value can be delivered through ServiceNow configuration, implementation and maintenance services.</w:t>
            </w:r>
          </w:p>
        </w:tc>
      </w:tr>
      <w:tr>
        <w:tc>
          <w:tcPr>
            <w:tcW w:type="dxa" w:w="3504"/>
            <w:vAlign w:val="center"/>
          </w:tcPr>
          <w:p>
            <w:pPr>
              <w:jc w:val="center"/>
            </w:pPr>
            <w:r/>
            <w:r>
              <w:rPr>
                <w:rFonts w:ascii="Arial" w:hAnsi="Arial"/>
                <w:b w:val="0"/>
                <w:sz w:val="24"/>
              </w:rPr>
              <w:t>6.</w:t>
            </w:r>
          </w:p>
        </w:tc>
        <w:tc>
          <w:tcPr>
            <w:tcW w:type="dxa" w:w="3504"/>
            <w:vAlign w:val="center"/>
          </w:tcPr>
          <w:p>
            <w:pPr>
              <w:jc w:val="left"/>
            </w:pPr>
            <w:r/>
            <w:r>
              <w:rPr>
                <w:rFonts w:ascii="Arial" w:hAnsi="Arial"/>
                <w:b w:val="0"/>
                <w:sz w:val="24"/>
              </w:rPr>
              <w:t>Scalability of the Solution</w:t>
            </w:r>
          </w:p>
        </w:tc>
        <w:tc>
          <w:tcPr>
            <w:tcW w:type="dxa" w:w="3504"/>
            <w:vAlign w:val="center"/>
          </w:tcPr>
          <w:p>
            <w:pPr>
              <w:jc w:val="left"/>
            </w:pPr>
            <w:r/>
            <w:r>
              <w:rPr>
                <w:rFonts w:ascii="Arial" w:hAnsi="Arial"/>
                <w:b w:val="0"/>
                <w:sz w:val="24"/>
              </w:rPr>
              <w:t>The rules are attached to the Incident table and can be reused across Incident records. Additional UI Policies and Client Scripts can be added for future requirements without introducing an external application stack.</w:t>
            </w:r>
          </w:p>
        </w:tc>
      </w:tr>
    </w:tbl>
    <w:sectPr w:rsidR="00FC693F" w:rsidRPr="0006063C" w:rsidSect="00034616">
      <w:footerReference w:type="default" r:id="rId9"/>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