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Project Development Phase</w:t>
        <w:br/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4"/>
              </w:rPr>
              <w:t>Date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01 October 2026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4"/>
              </w:rPr>
              <w:t>Team ID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4"/>
              </w:rPr>
              <w:t>Project Name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Implement Client Script &amp; UI Policy (Incident)</w:t>
            </w:r>
          </w:p>
        </w:tc>
      </w:tr>
      <w:tr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4"/>
              </w:rPr>
              <w:t>Maximum Marks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10 Marks</w:t>
            </w:r>
          </w:p>
        </w:tc>
      </w:tr>
    </w:tbl>
    <w:p/>
    <w:p>
      <w:r>
        <w:rPr>
          <w:rFonts w:ascii="Arial" w:hAnsi="Arial"/>
          <w:b/>
          <w:sz w:val="28"/>
        </w:rPr>
        <w:t>Model Performance Testing:</w:t>
      </w:r>
    </w:p>
    <w:p>
      <w:r>
        <w:t>Project team shall fill the following information in model performance testing template. For this ServiceNow project, the performance review focuses on client-side rule responsiveness, data validation behaviour and record save/update behaviour. No fabricated timing or accuracy values are used because the project was tested manually rather than with an instrumented benchmark.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S.No.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Parameter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Values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Screenshot / Evidence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UI Policy Response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High Impact condition correctly makes Assignment group mandatory and Urgency read-only. Reverse-if-false restores normal behaviour.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Milestone 1, 2 and Activity 3 evidence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Client Script Response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onChange sets Urgency to 1 - High when Impact becomes High and displays an information message.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Milestone 3 / Activity 1 evidence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Submission Validation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onSubmit blocks save when Impact = High and Assigned To is empty; valid assignment allows save.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Milestone 4 / Activities 1 and 2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List Edit Protection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onCellEdit displays the configured alert and prevents State from being changed through list editing.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Milestone 5 / Activity 4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Record Save / Update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Valid Incident records save/update successfully after applicable requirements are satisfied.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Activity 2 and Activity 3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Client-side Processing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Scripts are event-driven and limited to the relevant Incident form/list events. Quantitative latency was not instrumented.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1"/>
              </w:rPr>
              <w:t>Manual development test; no numeric benchmark claimed</w:t>
            </w:r>
          </w:p>
        </w:tc>
      </w:tr>
    </w:tbl>
    <w:p>
      <w:r>
        <w:rPr>
          <w:rFonts w:ascii="Arial" w:hAnsi="Arial"/>
          <w:b/>
          <w:sz w:val="28"/>
        </w:rPr>
        <w:t>Performance Test Interpretation</w:t>
      </w:r>
    </w:p>
    <w:p>
      <w:r>
        <w:t>The project is a lightweight ServiceNow configuration. The implemented scripts use direct g_form operations and a callback for list editing. The available project evidence demonstrates correct functional response; a precise millisecond response-time benchmark would require a dedicated browser/network performance tool and is therefore not reported as a measured value.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Implement Client Script &amp; UI Policy (Incident) | Project Development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