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385E7" w14:textId="77777777" w:rsidR="00AC514A" w:rsidRPr="00AC514A" w:rsidRDefault="00AC514A" w:rsidP="00AC514A">
      <w:pPr>
        <w:spacing w:after="30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B5394"/>
          <w:kern w:val="0"/>
          <w:sz w:val="20"/>
          <w:szCs w:val="20"/>
          <w:u w:val="single"/>
          <w:lang w:eastAsia="en-IN"/>
          <w14:ligatures w14:val="none"/>
        </w:rPr>
        <w:t>PROMPT</w:t>
      </w:r>
    </w:p>
    <w:p w14:paraId="0344B581" w14:textId="77777777" w:rsidR="00AC514A" w:rsidRPr="00AC514A" w:rsidRDefault="00AC514A" w:rsidP="00AC514A">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AC514A">
        <w:rPr>
          <w:rFonts w:ascii="Arial" w:eastAsia="Times New Roman" w:hAnsi="Arial" w:cs="Arial"/>
          <w:b/>
          <w:bCs/>
          <w:color w:val="000000"/>
          <w:kern w:val="0"/>
          <w:sz w:val="24"/>
          <w:szCs w:val="24"/>
          <w:lang w:eastAsia="en-IN"/>
          <w14:ligatures w14:val="none"/>
        </w:rPr>
        <w:t>SpringPad’s Company Comparison Deep Research Prompt</w:t>
      </w:r>
      <w:r w:rsidRPr="00AC514A">
        <w:rPr>
          <w:rFonts w:ascii="Arial" w:eastAsia="Times New Roman" w:hAnsi="Arial" w:cs="Arial"/>
          <w:b/>
          <w:bCs/>
          <w:color w:val="000000"/>
          <w:kern w:val="0"/>
          <w:sz w:val="34"/>
          <w:szCs w:val="34"/>
          <w:lang w:eastAsia="en-IN"/>
          <w14:ligatures w14:val="none"/>
        </w:rPr>
        <w:br/>
      </w:r>
      <w:r w:rsidRPr="00AC514A">
        <w:rPr>
          <w:rFonts w:ascii="Arial" w:eastAsia="Times New Roman" w:hAnsi="Arial" w:cs="Arial"/>
          <w:b/>
          <w:bCs/>
          <w:color w:val="000000"/>
          <w:kern w:val="0"/>
          <w:sz w:val="34"/>
          <w:szCs w:val="34"/>
          <w:lang w:eastAsia="en-IN"/>
          <w14:ligatures w14:val="none"/>
        </w:rPr>
        <w:br/>
      </w:r>
      <w:r w:rsidRPr="00AC514A">
        <w:rPr>
          <w:rFonts w:ascii="Arial" w:eastAsia="Times New Roman" w:hAnsi="Arial" w:cs="Arial"/>
          <w:b/>
          <w:bCs/>
          <w:color w:val="E06666"/>
          <w:kern w:val="0"/>
          <w:sz w:val="34"/>
          <w:szCs w:val="34"/>
          <w:lang w:eastAsia="en-IN"/>
          <w14:ligatures w14:val="none"/>
        </w:rPr>
        <w:t>[INPUT] — Stocks to Compare</w:t>
      </w:r>
    </w:p>
    <w:p w14:paraId="7DF3CD62" w14:textId="77777777" w:rsidR="00AC514A" w:rsidRPr="00AC514A" w:rsidRDefault="00AC514A" w:rsidP="00AC514A">
      <w:pPr>
        <w:spacing w:after="30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E06666"/>
          <w:kern w:val="0"/>
          <w:sz w:val="20"/>
          <w:szCs w:val="20"/>
          <w:lang w:eastAsia="en-IN"/>
          <w14:ligatures w14:val="none"/>
        </w:rPr>
        <w:t>Stock 1: [COMPANY NAME 1]</w:t>
      </w:r>
    </w:p>
    <w:p w14:paraId="0D1B194D" w14:textId="77777777" w:rsidR="00AC514A" w:rsidRPr="00AC514A" w:rsidRDefault="00AC514A" w:rsidP="00AC514A">
      <w:pPr>
        <w:spacing w:after="30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E06666"/>
          <w:kern w:val="0"/>
          <w:sz w:val="20"/>
          <w:szCs w:val="20"/>
          <w:lang w:eastAsia="en-IN"/>
          <w14:ligatures w14:val="none"/>
        </w:rPr>
        <w:t>Stock 2: [COMPANY NAME 2]</w:t>
      </w:r>
    </w:p>
    <w:p w14:paraId="63A64A5B" w14:textId="77777777" w:rsidR="00AC514A" w:rsidRPr="00AC514A" w:rsidRDefault="00AC514A" w:rsidP="00AC514A">
      <w:pPr>
        <w:spacing w:after="30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E06666"/>
          <w:kern w:val="0"/>
          <w:sz w:val="20"/>
          <w:szCs w:val="20"/>
          <w:lang w:eastAsia="en-IN"/>
          <w14:ligatures w14:val="none"/>
        </w:rPr>
        <w:t>Stock 3: [COMPANY NAME 3]</w:t>
      </w:r>
    </w:p>
    <w:p w14:paraId="7D7F656A" w14:textId="77777777" w:rsidR="00AC514A" w:rsidRPr="00AC514A" w:rsidRDefault="00AC514A" w:rsidP="00AC514A">
      <w:pPr>
        <w:spacing w:after="0" w:line="240" w:lineRule="auto"/>
        <w:rPr>
          <w:rFonts w:ascii="Times New Roman" w:eastAsia="Times New Roman" w:hAnsi="Times New Roman" w:cs="Times New Roman"/>
          <w:kern w:val="0"/>
          <w:sz w:val="24"/>
          <w:szCs w:val="24"/>
          <w:lang w:eastAsia="en-IN"/>
          <w14:ligatures w14:val="none"/>
        </w:rPr>
      </w:pPr>
    </w:p>
    <w:p w14:paraId="1B6283FA"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i/>
          <w:iCs/>
          <w:color w:val="000000"/>
          <w:kern w:val="0"/>
          <w:sz w:val="20"/>
          <w:szCs w:val="20"/>
          <w:lang w:eastAsia="en-IN"/>
          <w14:ligatures w14:val="none"/>
        </w:rPr>
        <w:t>(You may compare 2–4 stocks. If fewer than 3, collapse the extra company columns. If more than 3, add a column.)</w:t>
      </w:r>
    </w:p>
    <w:p w14:paraId="2D6DDA06" w14:textId="77777777" w:rsidR="00AC514A" w:rsidRPr="00AC514A" w:rsidRDefault="00AC514A" w:rsidP="00AC514A">
      <w:pPr>
        <w:spacing w:after="0" w:line="240" w:lineRule="auto"/>
        <w:rPr>
          <w:rFonts w:ascii="Times New Roman" w:eastAsia="Times New Roman" w:hAnsi="Times New Roman" w:cs="Times New Roman"/>
          <w:kern w:val="0"/>
          <w:sz w:val="24"/>
          <w:szCs w:val="24"/>
          <w:lang w:eastAsia="en-IN"/>
          <w14:ligatures w14:val="none"/>
        </w:rPr>
      </w:pPr>
      <w:r w:rsidRPr="00AC514A">
        <w:rPr>
          <w:rFonts w:ascii="Times New Roman" w:eastAsia="Times New Roman" w:hAnsi="Times New Roman" w:cs="Times New Roman"/>
          <w:kern w:val="0"/>
          <w:sz w:val="24"/>
          <w:szCs w:val="24"/>
          <w:lang w:eastAsia="en-IN"/>
          <w14:ligatures w14:val="none"/>
        </w:rPr>
        <w:pict w14:anchorId="28EB1736">
          <v:rect id="_x0000_i1025" style="width:0;height:1.5pt" o:hralign="center" o:hrstd="t" o:hr="t" fillcolor="#a0a0a0" stroked="f"/>
        </w:pict>
      </w:r>
    </w:p>
    <w:p w14:paraId="6A51E79A" w14:textId="77777777" w:rsidR="00AC514A" w:rsidRPr="00AC514A" w:rsidRDefault="00AC514A" w:rsidP="00AC514A">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AC514A">
        <w:rPr>
          <w:rFonts w:ascii="Arial" w:eastAsia="Times New Roman" w:hAnsi="Arial" w:cs="Arial"/>
          <w:b/>
          <w:bCs/>
          <w:color w:val="000000"/>
          <w:kern w:val="0"/>
          <w:sz w:val="34"/>
          <w:szCs w:val="34"/>
          <w:lang w:eastAsia="en-IN"/>
          <w14:ligatures w14:val="none"/>
        </w:rPr>
        <w:t>[TASK] — What to Produce</w:t>
      </w:r>
    </w:p>
    <w:p w14:paraId="632EED76"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Conduct an institution-grade, multi-dimensional investment comparison of the stocks listed above, covering the Indian equity market (NSE/BSE). Research current data from the web, synthesise it across six analytical categories, score each company, and produce a single standalone interactive HTML file that can be opened directly in any browser without a build step.</w:t>
      </w:r>
    </w:p>
    <w:p w14:paraId="1A58C500"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 xml:space="preserve">Do not produce a markdown report. Do not produce a React JSX file. The final deliverable must be a </w:t>
      </w:r>
      <w:r w:rsidRPr="00AC514A">
        <w:rPr>
          <w:rFonts w:ascii="Roboto Mono" w:eastAsia="Times New Roman" w:hAnsi="Roboto Mono" w:cs="Times New Roman"/>
          <w:b/>
          <w:bCs/>
          <w:color w:val="188038"/>
          <w:kern w:val="0"/>
          <w:sz w:val="20"/>
          <w:szCs w:val="20"/>
          <w:lang w:eastAsia="en-IN"/>
          <w14:ligatures w14:val="none"/>
        </w:rPr>
        <w:t>.html</w:t>
      </w:r>
      <w:r w:rsidRPr="00AC514A">
        <w:rPr>
          <w:rFonts w:ascii="Arial" w:eastAsia="Times New Roman" w:hAnsi="Arial" w:cs="Arial"/>
          <w:b/>
          <w:bCs/>
          <w:color w:val="000000"/>
          <w:kern w:val="0"/>
          <w:sz w:val="20"/>
          <w:szCs w:val="20"/>
          <w:lang w:eastAsia="en-IN"/>
          <w14:ligatures w14:val="none"/>
        </w:rPr>
        <w:t xml:space="preserve"> file saved to outputs.</w:t>
      </w:r>
    </w:p>
    <w:p w14:paraId="5A8A5183" w14:textId="77777777" w:rsidR="00AC514A" w:rsidRPr="00AC514A" w:rsidRDefault="00AC514A" w:rsidP="00AC514A">
      <w:pPr>
        <w:spacing w:after="0" w:line="240" w:lineRule="auto"/>
        <w:rPr>
          <w:rFonts w:ascii="Times New Roman" w:eastAsia="Times New Roman" w:hAnsi="Times New Roman" w:cs="Times New Roman"/>
          <w:kern w:val="0"/>
          <w:sz w:val="24"/>
          <w:szCs w:val="24"/>
          <w:lang w:eastAsia="en-IN"/>
          <w14:ligatures w14:val="none"/>
        </w:rPr>
      </w:pPr>
      <w:r w:rsidRPr="00AC514A">
        <w:rPr>
          <w:rFonts w:ascii="Times New Roman" w:eastAsia="Times New Roman" w:hAnsi="Times New Roman" w:cs="Times New Roman"/>
          <w:kern w:val="0"/>
          <w:sz w:val="24"/>
          <w:szCs w:val="24"/>
          <w:lang w:eastAsia="en-IN"/>
          <w14:ligatures w14:val="none"/>
        </w:rPr>
        <w:pict w14:anchorId="5DE63A79">
          <v:rect id="_x0000_i1026" style="width:0;height:1.5pt" o:hralign="center" o:hrstd="t" o:hr="t" fillcolor="#a0a0a0" stroked="f"/>
        </w:pict>
      </w:r>
    </w:p>
    <w:p w14:paraId="0765F77E" w14:textId="77777777" w:rsidR="00AC514A" w:rsidRPr="00AC514A" w:rsidRDefault="00AC514A" w:rsidP="00AC514A">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AC514A">
        <w:rPr>
          <w:rFonts w:ascii="Arial" w:eastAsia="Times New Roman" w:hAnsi="Arial" w:cs="Arial"/>
          <w:b/>
          <w:bCs/>
          <w:color w:val="000000"/>
          <w:kern w:val="0"/>
          <w:sz w:val="34"/>
          <w:szCs w:val="34"/>
          <w:lang w:eastAsia="en-IN"/>
          <w14:ligatures w14:val="none"/>
        </w:rPr>
        <w:t>[CONVENTIONS] — Indian Fiscal Year &amp; Data Freshness</w:t>
      </w:r>
    </w:p>
    <w:p w14:paraId="6DD45BA3" w14:textId="77777777" w:rsidR="00AC514A" w:rsidRPr="00AC514A" w:rsidRDefault="00AC514A" w:rsidP="00AC514A">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AC514A">
        <w:rPr>
          <w:rFonts w:ascii="Arial" w:eastAsia="Times New Roman" w:hAnsi="Arial" w:cs="Arial"/>
          <w:b/>
          <w:bCs/>
          <w:color w:val="000000"/>
          <w:kern w:val="0"/>
          <w:sz w:val="26"/>
          <w:szCs w:val="26"/>
          <w:lang w:eastAsia="en-IN"/>
          <w14:ligatures w14:val="none"/>
        </w:rPr>
        <w:t>Indian Fiscal Year Definition</w:t>
      </w:r>
    </w:p>
    <w:p w14:paraId="06CC6545"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 xml:space="preserve">This is non-negotiable. Indian companies report on an April–March fiscal year. The FY label refers to the year in which the fiscal year </w:t>
      </w:r>
      <w:r w:rsidRPr="00AC514A">
        <w:rPr>
          <w:rFonts w:ascii="Arial" w:eastAsia="Times New Roman" w:hAnsi="Arial" w:cs="Arial"/>
          <w:b/>
          <w:bCs/>
          <w:i/>
          <w:iCs/>
          <w:color w:val="000000"/>
          <w:kern w:val="0"/>
          <w:sz w:val="20"/>
          <w:szCs w:val="20"/>
          <w:lang w:eastAsia="en-IN"/>
          <w14:ligatures w14:val="none"/>
        </w:rPr>
        <w:t>ends</w:t>
      </w:r>
      <w:r w:rsidRPr="00AC514A">
        <w:rPr>
          <w:rFonts w:ascii="Arial" w:eastAsia="Times New Roman" w:hAnsi="Arial" w:cs="Arial"/>
          <w:b/>
          <w:bCs/>
          <w:color w:val="000000"/>
          <w:kern w:val="0"/>
          <w:sz w:val="20"/>
          <w:szCs w:val="20"/>
          <w:lang w:eastAsia="en-IN"/>
          <w14:ligatures w14:val="none"/>
        </w:rPr>
        <w:t>, not begins:</w:t>
      </w:r>
    </w:p>
    <w:tbl>
      <w:tblPr>
        <w:tblW w:w="0" w:type="auto"/>
        <w:tblCellMar>
          <w:top w:w="15" w:type="dxa"/>
          <w:left w:w="15" w:type="dxa"/>
          <w:bottom w:w="15" w:type="dxa"/>
          <w:right w:w="15" w:type="dxa"/>
        </w:tblCellMar>
        <w:tblLook w:val="04A0" w:firstRow="1" w:lastRow="0" w:firstColumn="1" w:lastColumn="0" w:noHBand="0" w:noVBand="1"/>
      </w:tblPr>
      <w:tblGrid>
        <w:gridCol w:w="1034"/>
        <w:gridCol w:w="2569"/>
        <w:gridCol w:w="2123"/>
      </w:tblGrid>
      <w:tr w:rsidR="00AC514A" w:rsidRPr="00AC514A" w14:paraId="44A99A84" w14:textId="77777777">
        <w:trPr>
          <w:trHeight w:val="515"/>
        </w:trPr>
        <w:tc>
          <w:tcPr>
            <w:tcW w:w="0" w:type="auto"/>
            <w:tcMar>
              <w:top w:w="100" w:type="dxa"/>
              <w:left w:w="100" w:type="dxa"/>
              <w:bottom w:w="100" w:type="dxa"/>
              <w:right w:w="100" w:type="dxa"/>
            </w:tcMar>
            <w:hideMark/>
          </w:tcPr>
          <w:p w14:paraId="6A55AEA7" w14:textId="77777777" w:rsidR="00AC514A" w:rsidRPr="00AC514A" w:rsidRDefault="00AC514A" w:rsidP="00AC514A">
            <w:pPr>
              <w:spacing w:after="300" w:line="240" w:lineRule="auto"/>
              <w:jc w:val="center"/>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FY Label</w:t>
            </w:r>
          </w:p>
        </w:tc>
        <w:tc>
          <w:tcPr>
            <w:tcW w:w="0" w:type="auto"/>
            <w:tcMar>
              <w:top w:w="100" w:type="dxa"/>
              <w:left w:w="100" w:type="dxa"/>
              <w:bottom w:w="100" w:type="dxa"/>
              <w:right w:w="100" w:type="dxa"/>
            </w:tcMar>
            <w:hideMark/>
          </w:tcPr>
          <w:p w14:paraId="741A2B69" w14:textId="77777777" w:rsidR="00AC514A" w:rsidRPr="00AC514A" w:rsidRDefault="00AC514A" w:rsidP="00AC514A">
            <w:pPr>
              <w:spacing w:after="300" w:line="240" w:lineRule="auto"/>
              <w:jc w:val="center"/>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Period</w:t>
            </w:r>
          </w:p>
        </w:tc>
        <w:tc>
          <w:tcPr>
            <w:tcW w:w="0" w:type="auto"/>
            <w:tcMar>
              <w:top w:w="100" w:type="dxa"/>
              <w:left w:w="100" w:type="dxa"/>
              <w:bottom w:w="100" w:type="dxa"/>
              <w:right w:w="100" w:type="dxa"/>
            </w:tcMar>
            <w:hideMark/>
          </w:tcPr>
          <w:p w14:paraId="2B0046D1" w14:textId="77777777" w:rsidR="00AC514A" w:rsidRPr="00AC514A" w:rsidRDefault="00AC514A" w:rsidP="00AC514A">
            <w:pPr>
              <w:spacing w:after="300" w:line="240" w:lineRule="auto"/>
              <w:jc w:val="center"/>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Calendar Equivalent</w:t>
            </w:r>
          </w:p>
        </w:tc>
      </w:tr>
      <w:tr w:rsidR="00AC514A" w:rsidRPr="00AC514A" w14:paraId="28711D68" w14:textId="77777777">
        <w:trPr>
          <w:trHeight w:val="515"/>
        </w:trPr>
        <w:tc>
          <w:tcPr>
            <w:tcW w:w="0" w:type="auto"/>
            <w:tcMar>
              <w:top w:w="100" w:type="dxa"/>
              <w:left w:w="100" w:type="dxa"/>
              <w:bottom w:w="100" w:type="dxa"/>
              <w:right w:w="100" w:type="dxa"/>
            </w:tcMar>
            <w:hideMark/>
          </w:tcPr>
          <w:p w14:paraId="39998495" w14:textId="77777777" w:rsidR="00AC514A" w:rsidRPr="00AC514A" w:rsidRDefault="00AC514A" w:rsidP="00AC514A">
            <w:pPr>
              <w:spacing w:after="30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FY24</w:t>
            </w:r>
          </w:p>
        </w:tc>
        <w:tc>
          <w:tcPr>
            <w:tcW w:w="0" w:type="auto"/>
            <w:tcMar>
              <w:top w:w="100" w:type="dxa"/>
              <w:left w:w="100" w:type="dxa"/>
              <w:bottom w:w="100" w:type="dxa"/>
              <w:right w:w="100" w:type="dxa"/>
            </w:tcMar>
            <w:hideMark/>
          </w:tcPr>
          <w:p w14:paraId="51801EAC" w14:textId="77777777" w:rsidR="00AC514A" w:rsidRPr="00AC514A" w:rsidRDefault="00AC514A" w:rsidP="00AC514A">
            <w:pPr>
              <w:spacing w:after="30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1 Apr 2023 – 31 Mar 2024</w:t>
            </w:r>
          </w:p>
        </w:tc>
        <w:tc>
          <w:tcPr>
            <w:tcW w:w="0" w:type="auto"/>
            <w:tcMar>
              <w:top w:w="100" w:type="dxa"/>
              <w:left w:w="100" w:type="dxa"/>
              <w:bottom w:w="100" w:type="dxa"/>
              <w:right w:w="100" w:type="dxa"/>
            </w:tcMar>
            <w:hideMark/>
          </w:tcPr>
          <w:p w14:paraId="3B257E75" w14:textId="77777777" w:rsidR="00AC514A" w:rsidRPr="00AC514A" w:rsidRDefault="00AC514A" w:rsidP="00AC514A">
            <w:pPr>
              <w:spacing w:after="30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ends March 2024</w:t>
            </w:r>
          </w:p>
        </w:tc>
      </w:tr>
      <w:tr w:rsidR="00AC514A" w:rsidRPr="00AC514A" w14:paraId="5B36D2AB" w14:textId="77777777">
        <w:trPr>
          <w:trHeight w:val="515"/>
        </w:trPr>
        <w:tc>
          <w:tcPr>
            <w:tcW w:w="0" w:type="auto"/>
            <w:tcMar>
              <w:top w:w="100" w:type="dxa"/>
              <w:left w:w="100" w:type="dxa"/>
              <w:bottom w:w="100" w:type="dxa"/>
              <w:right w:w="100" w:type="dxa"/>
            </w:tcMar>
            <w:hideMark/>
          </w:tcPr>
          <w:p w14:paraId="1681DC86" w14:textId="77777777" w:rsidR="00AC514A" w:rsidRPr="00AC514A" w:rsidRDefault="00AC514A" w:rsidP="00AC514A">
            <w:pPr>
              <w:spacing w:after="30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FY25</w:t>
            </w:r>
          </w:p>
        </w:tc>
        <w:tc>
          <w:tcPr>
            <w:tcW w:w="0" w:type="auto"/>
            <w:tcMar>
              <w:top w:w="100" w:type="dxa"/>
              <w:left w:w="100" w:type="dxa"/>
              <w:bottom w:w="100" w:type="dxa"/>
              <w:right w:w="100" w:type="dxa"/>
            </w:tcMar>
            <w:hideMark/>
          </w:tcPr>
          <w:p w14:paraId="0EF5CDEF" w14:textId="77777777" w:rsidR="00AC514A" w:rsidRPr="00AC514A" w:rsidRDefault="00AC514A" w:rsidP="00AC514A">
            <w:pPr>
              <w:spacing w:after="30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1 Apr 2024 – 31 Mar 2025</w:t>
            </w:r>
          </w:p>
        </w:tc>
        <w:tc>
          <w:tcPr>
            <w:tcW w:w="0" w:type="auto"/>
            <w:tcMar>
              <w:top w:w="100" w:type="dxa"/>
              <w:left w:w="100" w:type="dxa"/>
              <w:bottom w:w="100" w:type="dxa"/>
              <w:right w:w="100" w:type="dxa"/>
            </w:tcMar>
            <w:hideMark/>
          </w:tcPr>
          <w:p w14:paraId="06EA07B8" w14:textId="77777777" w:rsidR="00AC514A" w:rsidRPr="00AC514A" w:rsidRDefault="00AC514A" w:rsidP="00AC514A">
            <w:pPr>
              <w:spacing w:after="30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ends March 2025</w:t>
            </w:r>
          </w:p>
        </w:tc>
      </w:tr>
      <w:tr w:rsidR="00AC514A" w:rsidRPr="00AC514A" w14:paraId="20DC5570" w14:textId="77777777">
        <w:trPr>
          <w:trHeight w:val="515"/>
        </w:trPr>
        <w:tc>
          <w:tcPr>
            <w:tcW w:w="0" w:type="auto"/>
            <w:tcMar>
              <w:top w:w="100" w:type="dxa"/>
              <w:left w:w="100" w:type="dxa"/>
              <w:bottom w:w="100" w:type="dxa"/>
              <w:right w:w="100" w:type="dxa"/>
            </w:tcMar>
            <w:hideMark/>
          </w:tcPr>
          <w:p w14:paraId="613CC622" w14:textId="77777777" w:rsidR="00AC514A" w:rsidRPr="00AC514A" w:rsidRDefault="00AC514A" w:rsidP="00AC514A">
            <w:pPr>
              <w:spacing w:after="30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FY26</w:t>
            </w:r>
          </w:p>
        </w:tc>
        <w:tc>
          <w:tcPr>
            <w:tcW w:w="0" w:type="auto"/>
            <w:tcMar>
              <w:top w:w="100" w:type="dxa"/>
              <w:left w:w="100" w:type="dxa"/>
              <w:bottom w:w="100" w:type="dxa"/>
              <w:right w:w="100" w:type="dxa"/>
            </w:tcMar>
            <w:hideMark/>
          </w:tcPr>
          <w:p w14:paraId="7389E249" w14:textId="77777777" w:rsidR="00AC514A" w:rsidRPr="00AC514A" w:rsidRDefault="00AC514A" w:rsidP="00AC514A">
            <w:pPr>
              <w:spacing w:after="30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1 Apr 2025 – 31 Mar 2026</w:t>
            </w:r>
          </w:p>
        </w:tc>
        <w:tc>
          <w:tcPr>
            <w:tcW w:w="0" w:type="auto"/>
            <w:tcMar>
              <w:top w:w="100" w:type="dxa"/>
              <w:left w:w="100" w:type="dxa"/>
              <w:bottom w:w="100" w:type="dxa"/>
              <w:right w:w="100" w:type="dxa"/>
            </w:tcMar>
            <w:hideMark/>
          </w:tcPr>
          <w:p w14:paraId="0BBB05DB" w14:textId="77777777" w:rsidR="00AC514A" w:rsidRPr="00AC514A" w:rsidRDefault="00AC514A" w:rsidP="00AC514A">
            <w:pPr>
              <w:spacing w:after="30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ends March 2026</w:t>
            </w:r>
          </w:p>
        </w:tc>
      </w:tr>
      <w:tr w:rsidR="00AC514A" w:rsidRPr="00AC514A" w14:paraId="036D7019" w14:textId="77777777">
        <w:trPr>
          <w:trHeight w:val="515"/>
        </w:trPr>
        <w:tc>
          <w:tcPr>
            <w:tcW w:w="0" w:type="auto"/>
            <w:tcMar>
              <w:top w:w="100" w:type="dxa"/>
              <w:left w:w="100" w:type="dxa"/>
              <w:bottom w:w="100" w:type="dxa"/>
              <w:right w:w="100" w:type="dxa"/>
            </w:tcMar>
            <w:hideMark/>
          </w:tcPr>
          <w:p w14:paraId="3FC669FA" w14:textId="77777777" w:rsidR="00AC514A" w:rsidRPr="00AC514A" w:rsidRDefault="00AC514A" w:rsidP="00AC514A">
            <w:pPr>
              <w:spacing w:after="30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lastRenderedPageBreak/>
              <w:t>FY27</w:t>
            </w:r>
          </w:p>
        </w:tc>
        <w:tc>
          <w:tcPr>
            <w:tcW w:w="0" w:type="auto"/>
            <w:tcMar>
              <w:top w:w="100" w:type="dxa"/>
              <w:left w:w="100" w:type="dxa"/>
              <w:bottom w:w="100" w:type="dxa"/>
              <w:right w:w="100" w:type="dxa"/>
            </w:tcMar>
            <w:hideMark/>
          </w:tcPr>
          <w:p w14:paraId="39DC6FD1" w14:textId="77777777" w:rsidR="00AC514A" w:rsidRPr="00AC514A" w:rsidRDefault="00AC514A" w:rsidP="00AC514A">
            <w:pPr>
              <w:spacing w:after="30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1 Apr 2026 – 31 Mar 2027</w:t>
            </w:r>
          </w:p>
        </w:tc>
        <w:tc>
          <w:tcPr>
            <w:tcW w:w="0" w:type="auto"/>
            <w:tcMar>
              <w:top w:w="100" w:type="dxa"/>
              <w:left w:w="100" w:type="dxa"/>
              <w:bottom w:w="100" w:type="dxa"/>
              <w:right w:w="100" w:type="dxa"/>
            </w:tcMar>
            <w:hideMark/>
          </w:tcPr>
          <w:p w14:paraId="58BA7027" w14:textId="77777777" w:rsidR="00AC514A" w:rsidRPr="00AC514A" w:rsidRDefault="00AC514A" w:rsidP="00AC514A">
            <w:pPr>
              <w:spacing w:after="30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ends March 2027</w:t>
            </w:r>
          </w:p>
        </w:tc>
      </w:tr>
    </w:tbl>
    <w:p w14:paraId="18722016"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Rules to follow strictly:</w:t>
      </w:r>
    </w:p>
    <w:p w14:paraId="6D45BDE3" w14:textId="77777777" w:rsidR="00AC514A" w:rsidRPr="00AC514A" w:rsidRDefault="00AC514A" w:rsidP="00AC514A">
      <w:pPr>
        <w:numPr>
          <w:ilvl w:val="0"/>
          <w:numId w:val="1"/>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Never write "FY24-25" and "FY25" to mean different things — they are the same period.</w:t>
      </w:r>
    </w:p>
    <w:p w14:paraId="27929BC3" w14:textId="77777777" w:rsidR="00AC514A" w:rsidRPr="00AC514A" w:rsidRDefault="00AC514A" w:rsidP="00AC514A">
      <w:pPr>
        <w:numPr>
          <w:ilvl w:val="0"/>
          <w:numId w:val="1"/>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Never write "FY25 (2025-26)" — this is contradictory and wrong.</w:t>
      </w:r>
    </w:p>
    <w:p w14:paraId="3E6E49B4" w14:textId="77777777" w:rsidR="00AC514A" w:rsidRPr="00AC514A" w:rsidRDefault="00AC514A" w:rsidP="00AC514A">
      <w:pPr>
        <w:numPr>
          <w:ilvl w:val="0"/>
          <w:numId w:val="1"/>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When a source writes "FY2024-25" or "2024-25", translate it internally as FY25 and use that label consistently throughout.</w:t>
      </w:r>
    </w:p>
    <w:p w14:paraId="280E4B45" w14:textId="77777777" w:rsidR="00AC514A" w:rsidRPr="00AC514A" w:rsidRDefault="00AC514A" w:rsidP="00AC514A">
      <w:pPr>
        <w:numPr>
          <w:ilvl w:val="0"/>
          <w:numId w:val="1"/>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Quarters follow the same convention: Q1 FY26 = April–June 2025. Q3 FY26 = October–December 2025. Q4 FY26 = January–March 2026.</w:t>
      </w:r>
    </w:p>
    <w:p w14:paraId="476A577B" w14:textId="77777777" w:rsidR="00AC514A" w:rsidRPr="00AC514A" w:rsidRDefault="00AC514A" w:rsidP="00AC514A">
      <w:pPr>
        <w:numPr>
          <w:ilvl w:val="0"/>
          <w:numId w:val="1"/>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For forward projections, label them correctly: if today is April 2026, then FY26 results are just closing, FY27 is the current running year, and FY28 is the first full forward year.</w:t>
      </w:r>
    </w:p>
    <w:p w14:paraId="55AAD31D" w14:textId="77777777" w:rsidR="00AC514A" w:rsidRPr="00AC514A" w:rsidRDefault="00AC514A" w:rsidP="00AC514A">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AC514A">
        <w:rPr>
          <w:rFonts w:ascii="Arial" w:eastAsia="Times New Roman" w:hAnsi="Arial" w:cs="Arial"/>
          <w:b/>
          <w:bCs/>
          <w:color w:val="000000"/>
          <w:kern w:val="0"/>
          <w:sz w:val="26"/>
          <w:szCs w:val="26"/>
          <w:lang w:eastAsia="en-IN"/>
          <w14:ligatures w14:val="none"/>
        </w:rPr>
        <w:t>Data Freshness Rules</w:t>
      </w:r>
    </w:p>
    <w:p w14:paraId="1571D9AD" w14:textId="77777777" w:rsidR="00AC514A" w:rsidRPr="00AC514A" w:rsidRDefault="00AC514A" w:rsidP="00AC514A">
      <w:pPr>
        <w:numPr>
          <w:ilvl w:val="0"/>
          <w:numId w:val="2"/>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Always identify the latest closed fiscal year (full-year audited results) and the latest available quarter (provisional or audited) before writing any numbers.</w:t>
      </w:r>
    </w:p>
    <w:p w14:paraId="4BB88907" w14:textId="77777777" w:rsidR="00AC514A" w:rsidRPr="00AC514A" w:rsidRDefault="00AC514A" w:rsidP="00AC514A">
      <w:pPr>
        <w:numPr>
          <w:ilvl w:val="0"/>
          <w:numId w:val="2"/>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Prefer quarterly results over annual where more recent. For example: if FY26 Q3 results are available, use those for the most recent quarterly numbers — do not default to FY25 annual data as if it were current.</w:t>
      </w:r>
    </w:p>
    <w:p w14:paraId="016DC0D1" w14:textId="77777777" w:rsidR="00AC514A" w:rsidRPr="00AC514A" w:rsidRDefault="00AC514A" w:rsidP="00AC514A">
      <w:pPr>
        <w:numPr>
          <w:ilvl w:val="0"/>
          <w:numId w:val="2"/>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When citing a metric, always note its period explicitly in the table header or footnote (e.g., "Revenue — TTM as of Q3 FY26" or "ROE — FY25 Annual").</w:t>
      </w:r>
    </w:p>
    <w:p w14:paraId="6A8ABB49" w14:textId="77777777" w:rsidR="00AC514A" w:rsidRPr="00AC514A" w:rsidRDefault="00AC514A" w:rsidP="00AC514A">
      <w:pPr>
        <w:numPr>
          <w:ilvl w:val="0"/>
          <w:numId w:val="2"/>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If a company has released FY26 provisional/full-year results at the time of research, use FY26 as the base year for annual metrics and note it as such.</w:t>
      </w:r>
    </w:p>
    <w:p w14:paraId="673FC38C" w14:textId="77777777" w:rsidR="00AC514A" w:rsidRPr="00AC514A" w:rsidRDefault="00AC514A" w:rsidP="00AC514A">
      <w:pPr>
        <w:numPr>
          <w:ilvl w:val="0"/>
          <w:numId w:val="2"/>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Do not mix periods across companies (e.g., using FY25 annual for one company and TTM for another) without flagging it clearly.</w:t>
      </w:r>
    </w:p>
    <w:p w14:paraId="143DC9F9" w14:textId="77777777" w:rsidR="00AC514A" w:rsidRPr="00AC514A" w:rsidRDefault="00AC514A" w:rsidP="00AC514A">
      <w:pPr>
        <w:numPr>
          <w:ilvl w:val="0"/>
          <w:numId w:val="2"/>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 xml:space="preserve">Cross reference </w:t>
      </w:r>
      <w:hyperlink r:id="rId5" w:history="1">
        <w:r w:rsidRPr="00AC514A">
          <w:rPr>
            <w:rFonts w:ascii="Arial" w:eastAsia="Times New Roman" w:hAnsi="Arial" w:cs="Arial"/>
            <w:b/>
            <w:bCs/>
            <w:color w:val="1155CC"/>
            <w:kern w:val="0"/>
            <w:sz w:val="20"/>
            <w:szCs w:val="20"/>
            <w:u w:val="single"/>
            <w:lang w:eastAsia="en-IN"/>
            <w14:ligatures w14:val="none"/>
          </w:rPr>
          <w:t>screener.in</w:t>
        </w:r>
      </w:hyperlink>
      <w:r w:rsidRPr="00AC514A">
        <w:rPr>
          <w:rFonts w:ascii="Arial" w:eastAsia="Times New Roman" w:hAnsi="Arial" w:cs="Arial"/>
          <w:b/>
          <w:bCs/>
          <w:color w:val="000000"/>
          <w:kern w:val="0"/>
          <w:sz w:val="20"/>
          <w:szCs w:val="20"/>
          <w:lang w:eastAsia="en-IN"/>
          <w14:ligatures w14:val="none"/>
        </w:rPr>
        <w:t>, yahoo finance, and trading view for most recent price closes.</w:t>
      </w:r>
    </w:p>
    <w:p w14:paraId="217A0F74" w14:textId="77777777" w:rsidR="00AC514A" w:rsidRPr="00AC514A" w:rsidRDefault="00AC514A" w:rsidP="00AC514A">
      <w:pPr>
        <w:spacing w:after="0" w:line="240" w:lineRule="auto"/>
        <w:rPr>
          <w:rFonts w:ascii="Times New Roman" w:eastAsia="Times New Roman" w:hAnsi="Times New Roman" w:cs="Times New Roman"/>
          <w:kern w:val="0"/>
          <w:sz w:val="24"/>
          <w:szCs w:val="24"/>
          <w:lang w:eastAsia="en-IN"/>
          <w14:ligatures w14:val="none"/>
        </w:rPr>
      </w:pPr>
      <w:r w:rsidRPr="00AC514A">
        <w:rPr>
          <w:rFonts w:ascii="Times New Roman" w:eastAsia="Times New Roman" w:hAnsi="Times New Roman" w:cs="Times New Roman"/>
          <w:kern w:val="0"/>
          <w:sz w:val="24"/>
          <w:szCs w:val="24"/>
          <w:lang w:eastAsia="en-IN"/>
          <w14:ligatures w14:val="none"/>
        </w:rPr>
        <w:pict w14:anchorId="645E1536">
          <v:rect id="_x0000_i1027" style="width:0;height:1.5pt" o:hralign="center" o:hrstd="t" o:hr="t" fillcolor="#a0a0a0" stroked="f"/>
        </w:pict>
      </w:r>
    </w:p>
    <w:p w14:paraId="62AF9F3E" w14:textId="77777777" w:rsidR="00AC514A" w:rsidRPr="00AC514A" w:rsidRDefault="00AC514A" w:rsidP="00AC514A">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AC514A">
        <w:rPr>
          <w:rFonts w:ascii="Arial" w:eastAsia="Times New Roman" w:hAnsi="Arial" w:cs="Arial"/>
          <w:b/>
          <w:bCs/>
          <w:color w:val="000000"/>
          <w:kern w:val="0"/>
          <w:sz w:val="34"/>
          <w:szCs w:val="34"/>
          <w:lang w:eastAsia="en-IN"/>
          <w14:ligatures w14:val="none"/>
        </w:rPr>
        <w:t>[ANALYTICAL FRAMEWORK] — Research &amp; Scoring</w:t>
      </w:r>
    </w:p>
    <w:p w14:paraId="067D0005"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Research all three stocks thoroughly using web search before writing any content. Use at least 8–12 searches covering current stock prices, financial metrics, recent corporate events, management guidance, analyst opinions, and technical indicators. Prioritise sources such as Screener.in, Trendlyne, StockAnalysis, BSE/NSE filings, PIB, company investor relations, and reputable financial news.</w:t>
      </w:r>
    </w:p>
    <w:p w14:paraId="047661EA" w14:textId="77777777" w:rsidR="00AC514A" w:rsidRPr="00AC514A" w:rsidRDefault="00AC514A" w:rsidP="00AC514A">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AC514A">
        <w:rPr>
          <w:rFonts w:ascii="Arial" w:eastAsia="Times New Roman" w:hAnsi="Arial" w:cs="Arial"/>
          <w:b/>
          <w:bCs/>
          <w:color w:val="000000"/>
          <w:kern w:val="0"/>
          <w:sz w:val="26"/>
          <w:szCs w:val="26"/>
          <w:lang w:eastAsia="en-IN"/>
          <w14:ligatures w14:val="none"/>
        </w:rPr>
        <w:t>Six Scoring Categories (1–5 each, max 30 total)</w:t>
      </w:r>
    </w:p>
    <w:p w14:paraId="4C96F3EC"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Score each company 1–5 in every category. Be rigorous and differentiated — avoid clustering scores.</w:t>
      </w:r>
    </w:p>
    <w:p w14:paraId="56187B20" w14:textId="77777777" w:rsidR="00AC514A" w:rsidRPr="00AC514A" w:rsidRDefault="00AC514A" w:rsidP="00AC514A">
      <w:pPr>
        <w:spacing w:after="0" w:line="240" w:lineRule="auto"/>
        <w:rPr>
          <w:rFonts w:ascii="Times New Roman" w:eastAsia="Times New Roman" w:hAnsi="Times New Roman" w:cs="Times New Roman"/>
          <w:kern w:val="0"/>
          <w:sz w:val="24"/>
          <w:szCs w:val="24"/>
          <w:lang w:eastAsia="en-IN"/>
          <w14:ligatures w14:val="none"/>
        </w:rPr>
      </w:pPr>
      <w:r w:rsidRPr="00AC514A">
        <w:rPr>
          <w:rFonts w:ascii="Times New Roman" w:eastAsia="Times New Roman" w:hAnsi="Times New Roman" w:cs="Times New Roman"/>
          <w:kern w:val="0"/>
          <w:sz w:val="24"/>
          <w:szCs w:val="24"/>
          <w:lang w:eastAsia="en-IN"/>
          <w14:ligatures w14:val="none"/>
        </w:rPr>
        <w:pict w14:anchorId="0860AFFB">
          <v:rect id="_x0000_i1028" style="width:0;height:1.5pt" o:hralign="center" o:hrstd="t" o:hr="t" fillcolor="#a0a0a0" stroked="f"/>
        </w:pict>
      </w:r>
    </w:p>
    <w:p w14:paraId="04386507" w14:textId="77777777" w:rsidR="00AC514A" w:rsidRPr="00AC514A" w:rsidRDefault="00AC514A" w:rsidP="00AC514A">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AC514A">
        <w:rPr>
          <w:rFonts w:ascii="Arial" w:eastAsia="Times New Roman" w:hAnsi="Arial" w:cs="Arial"/>
          <w:b/>
          <w:bCs/>
          <w:color w:val="000000"/>
          <w:kern w:val="0"/>
          <w:sz w:val="26"/>
          <w:szCs w:val="26"/>
          <w:lang w:eastAsia="en-IN"/>
          <w14:ligatures w14:val="none"/>
        </w:rPr>
        <w:t>Category 1 — Fundamental Analysis (max 5 pts)</w:t>
      </w:r>
    </w:p>
    <w:p w14:paraId="02886E53"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For each company, research and write about:</w:t>
      </w:r>
    </w:p>
    <w:p w14:paraId="46FD2325" w14:textId="77777777" w:rsidR="00AC514A" w:rsidRPr="00AC514A" w:rsidRDefault="00AC514A" w:rsidP="00AC514A">
      <w:pPr>
        <w:numPr>
          <w:ilvl w:val="0"/>
          <w:numId w:val="3"/>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Business model &amp; competitive moat: What does the company do? What is its core competitive advantage? Is the moat durable?</w:t>
      </w:r>
    </w:p>
    <w:p w14:paraId="783A16BC" w14:textId="77777777" w:rsidR="00AC514A" w:rsidRPr="00AC514A" w:rsidRDefault="00AC514A" w:rsidP="00AC514A">
      <w:pPr>
        <w:numPr>
          <w:ilvl w:val="0"/>
          <w:numId w:val="3"/>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lastRenderedPageBreak/>
        <w:t>Market position: Market share, industry ranking, installed capacity or loan book size, geographic reach.</w:t>
      </w:r>
    </w:p>
    <w:p w14:paraId="67872866" w14:textId="77777777" w:rsidR="00AC514A" w:rsidRPr="00AC514A" w:rsidRDefault="00AC514A" w:rsidP="00AC514A">
      <w:pPr>
        <w:numPr>
          <w:ilvl w:val="0"/>
          <w:numId w:val="3"/>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Corporate governance: Promoter quality, group brand, SEBI/rating agency signals, related-party risks.</w:t>
      </w:r>
    </w:p>
    <w:p w14:paraId="4725C5DE" w14:textId="77777777" w:rsidR="00AC514A" w:rsidRPr="00AC514A" w:rsidRDefault="00AC514A" w:rsidP="00AC514A">
      <w:pPr>
        <w:numPr>
          <w:ilvl w:val="0"/>
          <w:numId w:val="3"/>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Recent developments: Key announcements, expansions, partnerships, awards, or milestones in the last 6–12 months.</w:t>
      </w:r>
    </w:p>
    <w:p w14:paraId="0F24B64F" w14:textId="77777777" w:rsidR="00AC514A" w:rsidRPr="00AC514A" w:rsidRDefault="00AC514A" w:rsidP="00AC514A">
      <w:pPr>
        <w:numPr>
          <w:ilvl w:val="0"/>
          <w:numId w:val="3"/>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Market sentiment: Analyst consensus, buy/sell/hold ratings, institutional ownership trends, recent coverage.</w:t>
      </w:r>
    </w:p>
    <w:p w14:paraId="0E72B451"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Scoring guide: 5 = exceptional moat, best-in-class governance, strong recent catalysts. 1 = weak moat, governance concerns, no positive catalysts.</w:t>
      </w:r>
    </w:p>
    <w:p w14:paraId="617C4311" w14:textId="77777777" w:rsidR="00AC514A" w:rsidRPr="00AC514A" w:rsidRDefault="00AC514A" w:rsidP="00AC514A">
      <w:pPr>
        <w:spacing w:after="0" w:line="240" w:lineRule="auto"/>
        <w:rPr>
          <w:rFonts w:ascii="Times New Roman" w:eastAsia="Times New Roman" w:hAnsi="Times New Roman" w:cs="Times New Roman"/>
          <w:kern w:val="0"/>
          <w:sz w:val="24"/>
          <w:szCs w:val="24"/>
          <w:lang w:eastAsia="en-IN"/>
          <w14:ligatures w14:val="none"/>
        </w:rPr>
      </w:pPr>
      <w:r w:rsidRPr="00AC514A">
        <w:rPr>
          <w:rFonts w:ascii="Times New Roman" w:eastAsia="Times New Roman" w:hAnsi="Times New Roman" w:cs="Times New Roman"/>
          <w:kern w:val="0"/>
          <w:sz w:val="24"/>
          <w:szCs w:val="24"/>
          <w:lang w:eastAsia="en-IN"/>
          <w14:ligatures w14:val="none"/>
        </w:rPr>
        <w:pict w14:anchorId="004BF13A">
          <v:rect id="_x0000_i1029" style="width:0;height:1.5pt" o:hralign="center" o:hrstd="t" o:hr="t" fillcolor="#a0a0a0" stroked="f"/>
        </w:pict>
      </w:r>
    </w:p>
    <w:p w14:paraId="7725D37E" w14:textId="77777777" w:rsidR="00AC514A" w:rsidRPr="00AC514A" w:rsidRDefault="00AC514A" w:rsidP="00AC514A">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AC514A">
        <w:rPr>
          <w:rFonts w:ascii="Arial" w:eastAsia="Times New Roman" w:hAnsi="Arial" w:cs="Arial"/>
          <w:b/>
          <w:bCs/>
          <w:color w:val="000000"/>
          <w:kern w:val="0"/>
          <w:sz w:val="26"/>
          <w:szCs w:val="26"/>
          <w:lang w:eastAsia="en-IN"/>
          <w14:ligatures w14:val="none"/>
        </w:rPr>
        <w:t>Category 2 — Financial Analysis (max 5 pts)</w:t>
      </w:r>
    </w:p>
    <w:p w14:paraId="012F6D55"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For each company, collect and present the following metrics (TTM / FY25 / latest available). Create a colour-coded comparison table (green = best, amber = mid, red = weakest):</w:t>
      </w:r>
    </w:p>
    <w:p w14:paraId="1382005E"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Profitability:</w:t>
      </w:r>
    </w:p>
    <w:p w14:paraId="7D54C93F" w14:textId="77777777" w:rsidR="00AC514A" w:rsidRPr="00AC514A" w:rsidRDefault="00AC514A" w:rsidP="00AC514A">
      <w:pPr>
        <w:numPr>
          <w:ilvl w:val="0"/>
          <w:numId w:val="4"/>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Gross Margin (%)</w:t>
      </w:r>
    </w:p>
    <w:p w14:paraId="38B97CF2" w14:textId="77777777" w:rsidR="00AC514A" w:rsidRPr="00AC514A" w:rsidRDefault="00AC514A" w:rsidP="00AC514A">
      <w:pPr>
        <w:numPr>
          <w:ilvl w:val="0"/>
          <w:numId w:val="4"/>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Operating Margin (%)</w:t>
      </w:r>
    </w:p>
    <w:p w14:paraId="3EFB264F" w14:textId="77777777" w:rsidR="00AC514A" w:rsidRPr="00AC514A" w:rsidRDefault="00AC514A" w:rsidP="00AC514A">
      <w:pPr>
        <w:numPr>
          <w:ilvl w:val="0"/>
          <w:numId w:val="4"/>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Net Profit Margin (%)</w:t>
      </w:r>
    </w:p>
    <w:p w14:paraId="43F968BC"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Returns:</w:t>
      </w:r>
    </w:p>
    <w:p w14:paraId="5233CB70" w14:textId="77777777" w:rsidR="00AC514A" w:rsidRPr="00AC514A" w:rsidRDefault="00AC514A" w:rsidP="00AC514A">
      <w:pPr>
        <w:numPr>
          <w:ilvl w:val="0"/>
          <w:numId w:val="5"/>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Return on Equity — ROE (%)</w:t>
      </w:r>
    </w:p>
    <w:p w14:paraId="28106B0B" w14:textId="77777777" w:rsidR="00AC514A" w:rsidRPr="00AC514A" w:rsidRDefault="00AC514A" w:rsidP="00AC514A">
      <w:pPr>
        <w:numPr>
          <w:ilvl w:val="0"/>
          <w:numId w:val="5"/>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Return on Assets — ROA (%)</w:t>
      </w:r>
    </w:p>
    <w:p w14:paraId="18E7594B"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Leverage:</w:t>
      </w:r>
    </w:p>
    <w:p w14:paraId="7E5952FB" w14:textId="77777777" w:rsidR="00AC514A" w:rsidRPr="00AC514A" w:rsidRDefault="00AC514A" w:rsidP="00AC514A">
      <w:pPr>
        <w:numPr>
          <w:ilvl w:val="0"/>
          <w:numId w:val="6"/>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Debt-to-Equity ratio (note if NBFC/financial company where high D/E is normal)</w:t>
      </w:r>
    </w:p>
    <w:p w14:paraId="43D164FD" w14:textId="77777777" w:rsidR="00AC514A" w:rsidRPr="00AC514A" w:rsidRDefault="00AC514A" w:rsidP="00AC514A">
      <w:pPr>
        <w:numPr>
          <w:ilvl w:val="0"/>
          <w:numId w:val="6"/>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Interest Coverage Ratio (where applicable)</w:t>
      </w:r>
    </w:p>
    <w:p w14:paraId="531C16D9"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Growth (5-year CAGR):</w:t>
      </w:r>
    </w:p>
    <w:p w14:paraId="77A573F8" w14:textId="77777777" w:rsidR="00AC514A" w:rsidRPr="00AC514A" w:rsidRDefault="00AC514A" w:rsidP="00AC514A">
      <w:pPr>
        <w:numPr>
          <w:ilvl w:val="0"/>
          <w:numId w:val="7"/>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Revenue CAGR</w:t>
      </w:r>
    </w:p>
    <w:p w14:paraId="215EFBF0" w14:textId="77777777" w:rsidR="00AC514A" w:rsidRPr="00AC514A" w:rsidRDefault="00AC514A" w:rsidP="00AC514A">
      <w:pPr>
        <w:numPr>
          <w:ilvl w:val="0"/>
          <w:numId w:val="7"/>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EPS / PAT CAGR</w:t>
      </w:r>
    </w:p>
    <w:p w14:paraId="53F3EFFE" w14:textId="77777777" w:rsidR="00AC514A" w:rsidRPr="00AC514A" w:rsidRDefault="00AC514A" w:rsidP="00AC514A">
      <w:pPr>
        <w:numPr>
          <w:ilvl w:val="0"/>
          <w:numId w:val="7"/>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Dividend Growth</w:t>
      </w:r>
    </w:p>
    <w:p w14:paraId="504AB9E4"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Note: For NBFCs or financial companies, use NIM-equivalent for gross margin and P/Loan Book as an additional valuation metric. Flag where metrics are not directly comparable across different business models.</w:t>
      </w:r>
    </w:p>
    <w:p w14:paraId="5DCA38C4" w14:textId="77777777" w:rsidR="00AC514A" w:rsidRPr="00AC514A" w:rsidRDefault="00AC514A" w:rsidP="00AC514A">
      <w:pPr>
        <w:spacing w:before="240" w:after="40" w:line="240" w:lineRule="auto"/>
        <w:outlineLvl w:val="3"/>
        <w:rPr>
          <w:rFonts w:ascii="Times New Roman" w:eastAsia="Times New Roman" w:hAnsi="Times New Roman" w:cs="Times New Roman"/>
          <w:b/>
          <w:bCs/>
          <w:kern w:val="0"/>
          <w:sz w:val="24"/>
          <w:szCs w:val="24"/>
          <w:lang w:eastAsia="en-IN"/>
          <w14:ligatures w14:val="none"/>
        </w:rPr>
      </w:pPr>
      <w:r w:rsidRPr="00AC514A">
        <w:rPr>
          <w:rFonts w:ascii="Arial" w:eastAsia="Times New Roman" w:hAnsi="Arial" w:cs="Arial"/>
          <w:b/>
          <w:bCs/>
          <w:color w:val="000000"/>
          <w:kern w:val="0"/>
          <w:lang w:eastAsia="en-IN"/>
          <w14:ligatures w14:val="none"/>
        </w:rPr>
        <w:t>Quarterly Analysis Sub-Section (required, within Category 2)</w:t>
      </w:r>
    </w:p>
    <w:p w14:paraId="31F0A859"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Beyond annual metrics, research and present quarterly trend data for the most recent 6–8 quarters for each company. This is essential for identifying whether a business is accelerating, decelerating, or showing lumpy results that annual averages would obscure.</w:t>
      </w:r>
    </w:p>
    <w:p w14:paraId="78771C72"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Quarterly metrics to collect (per quarter, per company):</w:t>
      </w:r>
    </w:p>
    <w:p w14:paraId="0C8B3183" w14:textId="77777777" w:rsidR="00AC514A" w:rsidRPr="00AC514A" w:rsidRDefault="00AC514A" w:rsidP="00AC514A">
      <w:pPr>
        <w:numPr>
          <w:ilvl w:val="0"/>
          <w:numId w:val="8"/>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Revenue (₹ Cr)</w:t>
      </w:r>
    </w:p>
    <w:p w14:paraId="52F717E0" w14:textId="77777777" w:rsidR="00AC514A" w:rsidRPr="00AC514A" w:rsidRDefault="00AC514A" w:rsidP="00AC514A">
      <w:pPr>
        <w:numPr>
          <w:ilvl w:val="0"/>
          <w:numId w:val="8"/>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EBITDA (₹ Cr) and EBITDA Margin (%)</w:t>
      </w:r>
    </w:p>
    <w:p w14:paraId="6C5BC96F" w14:textId="77777777" w:rsidR="00AC514A" w:rsidRPr="00AC514A" w:rsidRDefault="00AC514A" w:rsidP="00AC514A">
      <w:pPr>
        <w:numPr>
          <w:ilvl w:val="0"/>
          <w:numId w:val="8"/>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PAT / Net Profit (₹ Cr) and Net Margin (%)</w:t>
      </w:r>
    </w:p>
    <w:p w14:paraId="184B9818" w14:textId="77777777" w:rsidR="00AC514A" w:rsidRPr="00AC514A" w:rsidRDefault="00AC514A" w:rsidP="00AC514A">
      <w:pPr>
        <w:numPr>
          <w:ilvl w:val="0"/>
          <w:numId w:val="8"/>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YoY change (%) for Revenue, EBITDA, PAT — comparing same quarter of prior year</w:t>
      </w:r>
    </w:p>
    <w:p w14:paraId="2716926F" w14:textId="77777777" w:rsidR="00AC514A" w:rsidRPr="00AC514A" w:rsidRDefault="00AC514A" w:rsidP="00AC514A">
      <w:pPr>
        <w:numPr>
          <w:ilvl w:val="0"/>
          <w:numId w:val="8"/>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lastRenderedPageBreak/>
        <w:t>QoQ change (%) for Revenue, EBITDA, PAT — comparing immediately preceding quarter</w:t>
      </w:r>
    </w:p>
    <w:p w14:paraId="27FC6B44"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Label quarters using the Indian convention strictly:</w:t>
      </w:r>
    </w:p>
    <w:p w14:paraId="19ABD95C" w14:textId="77777777" w:rsidR="00AC514A" w:rsidRPr="00AC514A" w:rsidRDefault="00AC514A" w:rsidP="00AC514A">
      <w:pPr>
        <w:numPr>
          <w:ilvl w:val="0"/>
          <w:numId w:val="9"/>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Q1 FY26 = Apr–Jun 2025</w:t>
      </w:r>
    </w:p>
    <w:p w14:paraId="70BE671A" w14:textId="77777777" w:rsidR="00AC514A" w:rsidRPr="00AC514A" w:rsidRDefault="00AC514A" w:rsidP="00AC514A">
      <w:pPr>
        <w:numPr>
          <w:ilvl w:val="0"/>
          <w:numId w:val="9"/>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Q2 FY26 = Jul–Sep 2025</w:t>
      </w:r>
    </w:p>
    <w:p w14:paraId="538631A0" w14:textId="77777777" w:rsidR="00AC514A" w:rsidRPr="00AC514A" w:rsidRDefault="00AC514A" w:rsidP="00AC514A">
      <w:pPr>
        <w:numPr>
          <w:ilvl w:val="0"/>
          <w:numId w:val="9"/>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Q3 FY26 = Oct–Dec 2025</w:t>
      </w:r>
    </w:p>
    <w:p w14:paraId="5E2AB797" w14:textId="77777777" w:rsidR="00AC514A" w:rsidRPr="00AC514A" w:rsidRDefault="00AC514A" w:rsidP="00AC514A">
      <w:pPr>
        <w:numPr>
          <w:ilvl w:val="0"/>
          <w:numId w:val="9"/>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Q4 FY26 = Jan–Mar 2026</w:t>
      </w:r>
    </w:p>
    <w:p w14:paraId="27D20E59"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Narrative interpretation (2–3 sentences per company): After presenting the quarterly table, write a brief assessment: Is the business on an improving trajectory? Are margins expanding or compressing quarter-on-quarter? Was the most recent quarter an outlier (one-time provisioning, exceptional item, seasonal) or representative of the underlying run-rate?</w:t>
      </w:r>
    </w:p>
    <w:p w14:paraId="407D34CA"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Data sources for quarterly data: Screener.in quarterly results, Trendlyne quarterly financials, BSE/NSE exchange filings, company investor presentations, PIB press releases.</w:t>
      </w:r>
    </w:p>
    <w:p w14:paraId="1E5EF5AA"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Scoring guide: 5 = top-quartile margins, strong ROE, healthy leverage, rapid consistent growth, accelerating quarterly trajectory. 1 = deteriorating margins, weak returns, high leverage, stagnant or decelerating quarterly trend.</w:t>
      </w:r>
    </w:p>
    <w:p w14:paraId="3C032ACA" w14:textId="77777777" w:rsidR="00AC514A" w:rsidRPr="00AC514A" w:rsidRDefault="00AC514A" w:rsidP="00AC514A">
      <w:pPr>
        <w:spacing w:after="0" w:line="240" w:lineRule="auto"/>
        <w:rPr>
          <w:rFonts w:ascii="Times New Roman" w:eastAsia="Times New Roman" w:hAnsi="Times New Roman" w:cs="Times New Roman"/>
          <w:kern w:val="0"/>
          <w:sz w:val="24"/>
          <w:szCs w:val="24"/>
          <w:lang w:eastAsia="en-IN"/>
          <w14:ligatures w14:val="none"/>
        </w:rPr>
      </w:pPr>
      <w:r w:rsidRPr="00AC514A">
        <w:rPr>
          <w:rFonts w:ascii="Times New Roman" w:eastAsia="Times New Roman" w:hAnsi="Times New Roman" w:cs="Times New Roman"/>
          <w:kern w:val="0"/>
          <w:sz w:val="24"/>
          <w:szCs w:val="24"/>
          <w:lang w:eastAsia="en-IN"/>
          <w14:ligatures w14:val="none"/>
        </w:rPr>
        <w:pict w14:anchorId="7C71E4A8">
          <v:rect id="_x0000_i1030" style="width:0;height:1.5pt" o:hralign="center" o:hrstd="t" o:hr="t" fillcolor="#a0a0a0" stroked="f"/>
        </w:pict>
      </w:r>
    </w:p>
    <w:p w14:paraId="608D4B6B" w14:textId="77777777" w:rsidR="00AC514A" w:rsidRPr="00AC514A" w:rsidRDefault="00AC514A" w:rsidP="00AC514A">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AC514A">
        <w:rPr>
          <w:rFonts w:ascii="Arial" w:eastAsia="Times New Roman" w:hAnsi="Arial" w:cs="Arial"/>
          <w:b/>
          <w:bCs/>
          <w:color w:val="000000"/>
          <w:kern w:val="0"/>
          <w:sz w:val="26"/>
          <w:szCs w:val="26"/>
          <w:lang w:eastAsia="en-IN"/>
          <w14:ligatures w14:val="none"/>
        </w:rPr>
        <w:t>Category 3 — Price Performance (max 5 pts)</w:t>
      </w:r>
    </w:p>
    <w:p w14:paraId="27931F04"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For each company, research and present:</w:t>
      </w:r>
    </w:p>
    <w:p w14:paraId="52199972" w14:textId="77777777" w:rsidR="00AC514A" w:rsidRPr="00AC514A" w:rsidRDefault="00AC514A" w:rsidP="00AC514A">
      <w:pPr>
        <w:numPr>
          <w:ilvl w:val="0"/>
          <w:numId w:val="10"/>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Current stock price (as of research date)</w:t>
      </w:r>
    </w:p>
    <w:p w14:paraId="3B207EB6" w14:textId="77777777" w:rsidR="00AC514A" w:rsidRPr="00AC514A" w:rsidRDefault="00AC514A" w:rsidP="00AC514A">
      <w:pPr>
        <w:numPr>
          <w:ilvl w:val="0"/>
          <w:numId w:val="10"/>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1-year return (%)</w:t>
      </w:r>
    </w:p>
    <w:p w14:paraId="68A9CCDA" w14:textId="77777777" w:rsidR="00AC514A" w:rsidRPr="00AC514A" w:rsidRDefault="00AC514A" w:rsidP="00AC514A">
      <w:pPr>
        <w:numPr>
          <w:ilvl w:val="0"/>
          <w:numId w:val="10"/>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5-year return (%) — or since IPO if listed recently</w:t>
      </w:r>
    </w:p>
    <w:p w14:paraId="5524C500" w14:textId="77777777" w:rsidR="00AC514A" w:rsidRPr="00AC514A" w:rsidRDefault="00AC514A" w:rsidP="00AC514A">
      <w:pPr>
        <w:numPr>
          <w:ilvl w:val="0"/>
          <w:numId w:val="10"/>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52-week High and 52-week Low</w:t>
      </w:r>
    </w:p>
    <w:p w14:paraId="7EA669DD" w14:textId="77777777" w:rsidR="00AC514A" w:rsidRPr="00AC514A" w:rsidRDefault="00AC514A" w:rsidP="00AC514A">
      <w:pPr>
        <w:numPr>
          <w:ilvl w:val="0"/>
          <w:numId w:val="10"/>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Market capitalisation</w:t>
      </w:r>
    </w:p>
    <w:p w14:paraId="51382D75" w14:textId="77777777" w:rsidR="00AC514A" w:rsidRPr="00AC514A" w:rsidRDefault="00AC514A" w:rsidP="00AC514A">
      <w:pPr>
        <w:numPr>
          <w:ilvl w:val="0"/>
          <w:numId w:val="10"/>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Performance vs. Sensex/Nifty benchmark over 1Y</w:t>
      </w:r>
    </w:p>
    <w:p w14:paraId="7334CA2D" w14:textId="77777777" w:rsidR="00AC514A" w:rsidRPr="00AC514A" w:rsidRDefault="00AC514A" w:rsidP="00AC514A">
      <w:pPr>
        <w:numPr>
          <w:ilvl w:val="0"/>
          <w:numId w:val="10"/>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Dividend yield</w:t>
      </w:r>
    </w:p>
    <w:p w14:paraId="4B3D1709"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Also include a Management Guidance vs. Actual table: What did management guide for? What was the actual result? Was guidance met, beaten, or missed?</w:t>
      </w:r>
    </w:p>
    <w:p w14:paraId="01A98353"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Scoring guide: 5 = strong 1Y and 5Y outperformance, guidance consistency, robust earnings track record. 1 = significant underperformance, guidance misses, volatile earnings.</w:t>
      </w:r>
    </w:p>
    <w:p w14:paraId="5F1FAC77" w14:textId="77777777" w:rsidR="00AC514A" w:rsidRPr="00AC514A" w:rsidRDefault="00AC514A" w:rsidP="00AC514A">
      <w:pPr>
        <w:spacing w:after="0" w:line="240" w:lineRule="auto"/>
        <w:rPr>
          <w:rFonts w:ascii="Times New Roman" w:eastAsia="Times New Roman" w:hAnsi="Times New Roman" w:cs="Times New Roman"/>
          <w:kern w:val="0"/>
          <w:sz w:val="24"/>
          <w:szCs w:val="24"/>
          <w:lang w:eastAsia="en-IN"/>
          <w14:ligatures w14:val="none"/>
        </w:rPr>
      </w:pPr>
      <w:r w:rsidRPr="00AC514A">
        <w:rPr>
          <w:rFonts w:ascii="Times New Roman" w:eastAsia="Times New Roman" w:hAnsi="Times New Roman" w:cs="Times New Roman"/>
          <w:kern w:val="0"/>
          <w:sz w:val="24"/>
          <w:szCs w:val="24"/>
          <w:lang w:eastAsia="en-IN"/>
          <w14:ligatures w14:val="none"/>
        </w:rPr>
        <w:pict w14:anchorId="385DEFC7">
          <v:rect id="_x0000_i1031" style="width:0;height:1.5pt" o:hralign="center" o:hrstd="t" o:hr="t" fillcolor="#a0a0a0" stroked="f"/>
        </w:pict>
      </w:r>
    </w:p>
    <w:p w14:paraId="5D283C9A" w14:textId="77777777" w:rsidR="00AC514A" w:rsidRPr="00AC514A" w:rsidRDefault="00AC514A" w:rsidP="00AC514A">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AC514A">
        <w:rPr>
          <w:rFonts w:ascii="Arial" w:eastAsia="Times New Roman" w:hAnsi="Arial" w:cs="Arial"/>
          <w:b/>
          <w:bCs/>
          <w:color w:val="000000"/>
          <w:kern w:val="0"/>
          <w:sz w:val="26"/>
          <w:szCs w:val="26"/>
          <w:lang w:eastAsia="en-IN"/>
          <w14:ligatures w14:val="none"/>
        </w:rPr>
        <w:t>Category 4 — Forward Outlook (max 5 pts)</w:t>
      </w:r>
    </w:p>
    <w:p w14:paraId="6BA9D069"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For each company, research and write about:</w:t>
      </w:r>
    </w:p>
    <w:p w14:paraId="6CAD3EA2"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Growth projections:</w:t>
      </w:r>
    </w:p>
    <w:p w14:paraId="4D48BBAC" w14:textId="77777777" w:rsidR="00AC514A" w:rsidRPr="00AC514A" w:rsidRDefault="00AC514A" w:rsidP="00AC514A">
      <w:pPr>
        <w:numPr>
          <w:ilvl w:val="0"/>
          <w:numId w:val="11"/>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Consensus revenue / PAT CAGR estimates (FY26–FY28 or 2–3 year forward)</w:t>
      </w:r>
    </w:p>
    <w:p w14:paraId="7A5481D5" w14:textId="77777777" w:rsidR="00AC514A" w:rsidRPr="00AC514A" w:rsidRDefault="00AC514A" w:rsidP="00AC514A">
      <w:pPr>
        <w:numPr>
          <w:ilvl w:val="0"/>
          <w:numId w:val="11"/>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Capacity expansion / loan book targets</w:t>
      </w:r>
    </w:p>
    <w:p w14:paraId="1705CC1B" w14:textId="77777777" w:rsidR="00AC514A" w:rsidRPr="00AC514A" w:rsidRDefault="00AC514A" w:rsidP="00AC514A">
      <w:pPr>
        <w:numPr>
          <w:ilvl w:val="0"/>
          <w:numId w:val="11"/>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Management's stated 2030 vision or CAPEX commitment</w:t>
      </w:r>
    </w:p>
    <w:p w14:paraId="5473E7DF"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Opportunities (label as chips):</w:t>
      </w:r>
    </w:p>
    <w:p w14:paraId="7D933B76" w14:textId="77777777" w:rsidR="00AC514A" w:rsidRPr="00AC514A" w:rsidRDefault="00AC514A" w:rsidP="00AC514A">
      <w:pPr>
        <w:numPr>
          <w:ilvl w:val="0"/>
          <w:numId w:val="12"/>
        </w:numPr>
        <w:spacing w:before="240"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lastRenderedPageBreak/>
        <w:t>Sector tailwinds, government policy support, product launches, new geographies, green transitions</w:t>
      </w:r>
    </w:p>
    <w:p w14:paraId="145D1BD3"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Risks (label as chips):</w:t>
      </w:r>
    </w:p>
    <w:p w14:paraId="53012E2A" w14:textId="77777777" w:rsidR="00AC514A" w:rsidRPr="00AC514A" w:rsidRDefault="00AC514A" w:rsidP="00AC514A">
      <w:pPr>
        <w:numPr>
          <w:ilvl w:val="0"/>
          <w:numId w:val="13"/>
        </w:numPr>
        <w:spacing w:before="240"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Execution risk, regulatory risk, leverage concerns, competition, commodity/interest rate exposure, NPA trajectory</w:t>
      </w:r>
    </w:p>
    <w:p w14:paraId="6F54EA28"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Macro &amp; Regulatory backdrop: Include 6–8 macroeconomic or regulatory data points relevant to the sector that create either tailwinds or headwinds.</w:t>
      </w:r>
    </w:p>
    <w:p w14:paraId="27A7E5C3"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Scoring guide: 5 = robust and de-risked 3-year growth path, strong policy tailwinds, manageable risks. 1 = uncertain trajectory, significant execution or regulatory risk, weak sector backdrop.</w:t>
      </w:r>
    </w:p>
    <w:p w14:paraId="6F262C99" w14:textId="77777777" w:rsidR="00AC514A" w:rsidRPr="00AC514A" w:rsidRDefault="00AC514A" w:rsidP="00AC514A">
      <w:pPr>
        <w:spacing w:after="0" w:line="240" w:lineRule="auto"/>
        <w:rPr>
          <w:rFonts w:ascii="Times New Roman" w:eastAsia="Times New Roman" w:hAnsi="Times New Roman" w:cs="Times New Roman"/>
          <w:kern w:val="0"/>
          <w:sz w:val="24"/>
          <w:szCs w:val="24"/>
          <w:lang w:eastAsia="en-IN"/>
          <w14:ligatures w14:val="none"/>
        </w:rPr>
      </w:pPr>
      <w:r w:rsidRPr="00AC514A">
        <w:rPr>
          <w:rFonts w:ascii="Times New Roman" w:eastAsia="Times New Roman" w:hAnsi="Times New Roman" w:cs="Times New Roman"/>
          <w:kern w:val="0"/>
          <w:sz w:val="24"/>
          <w:szCs w:val="24"/>
          <w:lang w:eastAsia="en-IN"/>
          <w14:ligatures w14:val="none"/>
        </w:rPr>
        <w:pict w14:anchorId="06C478FE">
          <v:rect id="_x0000_i1032" style="width:0;height:1.5pt" o:hralign="center" o:hrstd="t" o:hr="t" fillcolor="#a0a0a0" stroked="f"/>
        </w:pict>
      </w:r>
    </w:p>
    <w:p w14:paraId="2689E3B8" w14:textId="77777777" w:rsidR="00AC514A" w:rsidRPr="00AC514A" w:rsidRDefault="00AC514A" w:rsidP="00AC514A">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AC514A">
        <w:rPr>
          <w:rFonts w:ascii="Arial" w:eastAsia="Times New Roman" w:hAnsi="Arial" w:cs="Arial"/>
          <w:b/>
          <w:bCs/>
          <w:color w:val="000000"/>
          <w:kern w:val="0"/>
          <w:sz w:val="26"/>
          <w:szCs w:val="26"/>
          <w:lang w:eastAsia="en-IN"/>
          <w14:ligatures w14:val="none"/>
        </w:rPr>
        <w:t>Category 5 — Technical Analysis (max 5 pts)</w:t>
      </w:r>
    </w:p>
    <w:p w14:paraId="12F1C052"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For each company, research and present the following technical indicators (as of research date):</w:t>
      </w:r>
    </w:p>
    <w:p w14:paraId="5F6BBF49" w14:textId="77777777" w:rsidR="00AC514A" w:rsidRPr="00AC514A" w:rsidRDefault="00AC514A" w:rsidP="00AC514A">
      <w:pPr>
        <w:numPr>
          <w:ilvl w:val="0"/>
          <w:numId w:val="14"/>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Current price and signal (BULLISH / RECOVERING / BEARISH / NEUTRAL)</w:t>
      </w:r>
    </w:p>
    <w:p w14:paraId="439647E2" w14:textId="77777777" w:rsidR="00AC514A" w:rsidRPr="00AC514A" w:rsidRDefault="00AC514A" w:rsidP="00AC514A">
      <w:pPr>
        <w:numPr>
          <w:ilvl w:val="0"/>
          <w:numId w:val="14"/>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RSI (14-day) — and interpretation (overbought / neutral / oversold)</w:t>
      </w:r>
    </w:p>
    <w:p w14:paraId="7750864F" w14:textId="77777777" w:rsidR="00AC514A" w:rsidRPr="00AC514A" w:rsidRDefault="00AC514A" w:rsidP="00AC514A">
      <w:pPr>
        <w:numPr>
          <w:ilvl w:val="0"/>
          <w:numId w:val="14"/>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MACD — signal type and direction</w:t>
      </w:r>
    </w:p>
    <w:p w14:paraId="673D8367" w14:textId="77777777" w:rsidR="00AC514A" w:rsidRPr="00AC514A" w:rsidRDefault="00AC514A" w:rsidP="00AC514A">
      <w:pPr>
        <w:numPr>
          <w:ilvl w:val="0"/>
          <w:numId w:val="14"/>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50-day SMA — is price above or below?</w:t>
      </w:r>
    </w:p>
    <w:p w14:paraId="3DE6E640" w14:textId="77777777" w:rsidR="00AC514A" w:rsidRPr="00AC514A" w:rsidRDefault="00AC514A" w:rsidP="00AC514A">
      <w:pPr>
        <w:numPr>
          <w:ilvl w:val="0"/>
          <w:numId w:val="14"/>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200-day SMA — is price above or below?</w:t>
      </w:r>
    </w:p>
    <w:p w14:paraId="5E1C0B4D" w14:textId="77777777" w:rsidR="00AC514A" w:rsidRPr="00AC514A" w:rsidRDefault="00AC514A" w:rsidP="00AC514A">
      <w:pPr>
        <w:numPr>
          <w:ilvl w:val="0"/>
          <w:numId w:val="14"/>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Volume — is volume rising on up-days or down-days?</w:t>
      </w:r>
    </w:p>
    <w:p w14:paraId="74EA71F2" w14:textId="77777777" w:rsidR="00AC514A" w:rsidRPr="00AC514A" w:rsidRDefault="00AC514A" w:rsidP="00AC514A">
      <w:pPr>
        <w:numPr>
          <w:ilvl w:val="0"/>
          <w:numId w:val="14"/>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Trend description — channel, pattern, key support/resistance levels</w:t>
      </w:r>
    </w:p>
    <w:p w14:paraId="61223D1C"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Also include a per-company Technical Verdict (STRONG BUY / ACCUMULATE / HOLD / AVOID NEAR-TERM / SELL) with a 2-3 sentence justification.</w:t>
      </w:r>
    </w:p>
    <w:p w14:paraId="798F4019"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Scoring guide: 5 = all major MAs aligned bullishly, MACD buy signal, RSI neutral or rising, volume confirming. 1 = price below all key MAs, MACD bearish, RSI falling or near oversold, volume confirming downtrend.</w:t>
      </w:r>
    </w:p>
    <w:p w14:paraId="079AF2A0" w14:textId="77777777" w:rsidR="00AC514A" w:rsidRPr="00AC514A" w:rsidRDefault="00AC514A" w:rsidP="00AC514A">
      <w:pPr>
        <w:spacing w:after="0" w:line="240" w:lineRule="auto"/>
        <w:rPr>
          <w:rFonts w:ascii="Times New Roman" w:eastAsia="Times New Roman" w:hAnsi="Times New Roman" w:cs="Times New Roman"/>
          <w:kern w:val="0"/>
          <w:sz w:val="24"/>
          <w:szCs w:val="24"/>
          <w:lang w:eastAsia="en-IN"/>
          <w14:ligatures w14:val="none"/>
        </w:rPr>
      </w:pPr>
      <w:r w:rsidRPr="00AC514A">
        <w:rPr>
          <w:rFonts w:ascii="Times New Roman" w:eastAsia="Times New Roman" w:hAnsi="Times New Roman" w:cs="Times New Roman"/>
          <w:kern w:val="0"/>
          <w:sz w:val="24"/>
          <w:szCs w:val="24"/>
          <w:lang w:eastAsia="en-IN"/>
          <w14:ligatures w14:val="none"/>
        </w:rPr>
        <w:pict w14:anchorId="3A6257A1">
          <v:rect id="_x0000_i1033" style="width:0;height:1.5pt" o:hralign="center" o:hrstd="t" o:hr="t" fillcolor="#a0a0a0" stroked="f"/>
        </w:pict>
      </w:r>
    </w:p>
    <w:p w14:paraId="5E5A9B32" w14:textId="77777777" w:rsidR="00AC514A" w:rsidRPr="00AC514A" w:rsidRDefault="00AC514A" w:rsidP="00AC514A">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AC514A">
        <w:rPr>
          <w:rFonts w:ascii="Arial" w:eastAsia="Times New Roman" w:hAnsi="Arial" w:cs="Arial"/>
          <w:b/>
          <w:bCs/>
          <w:color w:val="000000"/>
          <w:kern w:val="0"/>
          <w:sz w:val="26"/>
          <w:szCs w:val="26"/>
          <w:lang w:eastAsia="en-IN"/>
          <w14:ligatures w14:val="none"/>
        </w:rPr>
        <w:t>Category 6 — Valuation (max 5 pts)</w:t>
      </w:r>
    </w:p>
    <w:p w14:paraId="5500BA69"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For each company, collect and present:</w:t>
      </w:r>
    </w:p>
    <w:p w14:paraId="17FC218B" w14:textId="77777777" w:rsidR="00AC514A" w:rsidRPr="00AC514A" w:rsidRDefault="00AC514A" w:rsidP="00AC514A">
      <w:pPr>
        <w:numPr>
          <w:ilvl w:val="0"/>
          <w:numId w:val="15"/>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P/E ratio (TTM trailing, and forward estimate if available)</w:t>
      </w:r>
    </w:p>
    <w:p w14:paraId="3E9F8B57" w14:textId="77777777" w:rsidR="00AC514A" w:rsidRPr="00AC514A" w:rsidRDefault="00AC514A" w:rsidP="00AC514A">
      <w:pPr>
        <w:numPr>
          <w:ilvl w:val="0"/>
          <w:numId w:val="15"/>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P/B ratio</w:t>
      </w:r>
    </w:p>
    <w:p w14:paraId="09B16B24" w14:textId="77777777" w:rsidR="00AC514A" w:rsidRPr="00AC514A" w:rsidRDefault="00AC514A" w:rsidP="00AC514A">
      <w:pPr>
        <w:numPr>
          <w:ilvl w:val="0"/>
          <w:numId w:val="15"/>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EV/EBITDA (where applicable; note if not applicable for NBFCs)</w:t>
      </w:r>
    </w:p>
    <w:p w14:paraId="7667F215" w14:textId="77777777" w:rsidR="00AC514A" w:rsidRPr="00AC514A" w:rsidRDefault="00AC514A" w:rsidP="00AC514A">
      <w:pPr>
        <w:numPr>
          <w:ilvl w:val="0"/>
          <w:numId w:val="15"/>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For NBFCs/lenders: P/Loan Book or P/AUM</w:t>
      </w:r>
    </w:p>
    <w:p w14:paraId="0CBEFDB4"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For each metric, identify which company offers the best value and highlight accordingly in the table.</w:t>
      </w:r>
    </w:p>
    <w:p w14:paraId="16178F6D"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Write a 3–4 sentence valuation commentary for each company covering:</w:t>
      </w:r>
    </w:p>
    <w:p w14:paraId="20E60272" w14:textId="77777777" w:rsidR="00AC514A" w:rsidRPr="00AC514A" w:rsidRDefault="00AC514A" w:rsidP="00AC514A">
      <w:pPr>
        <w:numPr>
          <w:ilvl w:val="0"/>
          <w:numId w:val="16"/>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Whether the current multiple is justified given earnings growth</w:t>
      </w:r>
    </w:p>
    <w:p w14:paraId="32F88B95" w14:textId="77777777" w:rsidR="00AC514A" w:rsidRPr="00AC514A" w:rsidRDefault="00AC514A" w:rsidP="00AC514A">
      <w:pPr>
        <w:numPr>
          <w:ilvl w:val="0"/>
          <w:numId w:val="16"/>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PEG ratio or relative multiple assessment</w:t>
      </w:r>
    </w:p>
    <w:p w14:paraId="040FA781" w14:textId="77777777" w:rsidR="00AC514A" w:rsidRPr="00AC514A" w:rsidRDefault="00AC514A" w:rsidP="00AC514A">
      <w:pPr>
        <w:numPr>
          <w:ilvl w:val="0"/>
          <w:numId w:val="16"/>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Whether it looks cheap, fairly valued, or expensive, and what the bull/bear case hinges on</w:t>
      </w:r>
    </w:p>
    <w:p w14:paraId="6799A134"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lastRenderedPageBreak/>
        <w:t>Scoring guide: 5 = cheapest valuation with credible re-rating catalyst. 1 = most expensive with no margin of safety or structural reasons for premium.</w:t>
      </w:r>
    </w:p>
    <w:p w14:paraId="0BCA4194" w14:textId="77777777" w:rsidR="00AC514A" w:rsidRPr="00AC514A" w:rsidRDefault="00AC514A" w:rsidP="00AC514A">
      <w:pPr>
        <w:spacing w:after="0" w:line="240" w:lineRule="auto"/>
        <w:rPr>
          <w:rFonts w:ascii="Times New Roman" w:eastAsia="Times New Roman" w:hAnsi="Times New Roman" w:cs="Times New Roman"/>
          <w:kern w:val="0"/>
          <w:sz w:val="24"/>
          <w:szCs w:val="24"/>
          <w:lang w:eastAsia="en-IN"/>
          <w14:ligatures w14:val="none"/>
        </w:rPr>
      </w:pPr>
      <w:r w:rsidRPr="00AC514A">
        <w:rPr>
          <w:rFonts w:ascii="Times New Roman" w:eastAsia="Times New Roman" w:hAnsi="Times New Roman" w:cs="Times New Roman"/>
          <w:kern w:val="0"/>
          <w:sz w:val="24"/>
          <w:szCs w:val="24"/>
          <w:lang w:eastAsia="en-IN"/>
          <w14:ligatures w14:val="none"/>
        </w:rPr>
        <w:pict w14:anchorId="69C88D88">
          <v:rect id="_x0000_i1034" style="width:0;height:1.5pt" o:hralign="center" o:hrstd="t" o:hr="t" fillcolor="#a0a0a0" stroked="f"/>
        </w:pict>
      </w:r>
    </w:p>
    <w:p w14:paraId="69427DA4" w14:textId="77777777" w:rsidR="00AC514A" w:rsidRPr="00AC514A" w:rsidRDefault="00AC514A" w:rsidP="00AC514A">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AC514A">
        <w:rPr>
          <w:rFonts w:ascii="Arial" w:eastAsia="Times New Roman" w:hAnsi="Arial" w:cs="Arial"/>
          <w:b/>
          <w:bCs/>
          <w:color w:val="000000"/>
          <w:kern w:val="0"/>
          <w:sz w:val="26"/>
          <w:szCs w:val="26"/>
          <w:lang w:eastAsia="en-IN"/>
          <w14:ligatures w14:val="none"/>
        </w:rPr>
        <w:t>Final Score &amp; Verdict</w:t>
      </w:r>
    </w:p>
    <w:p w14:paraId="36DAE33B" w14:textId="77777777" w:rsidR="00AC514A" w:rsidRPr="00AC514A" w:rsidRDefault="00AC514A" w:rsidP="00AC514A">
      <w:pPr>
        <w:numPr>
          <w:ilvl w:val="0"/>
          <w:numId w:val="17"/>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Sum the six category scores for each company (max 30)</w:t>
      </w:r>
    </w:p>
    <w:p w14:paraId="064C226F" w14:textId="77777777" w:rsidR="00AC514A" w:rsidRPr="00AC514A" w:rsidRDefault="00AC514A" w:rsidP="00AC514A">
      <w:pPr>
        <w:numPr>
          <w:ilvl w:val="0"/>
          <w:numId w:val="17"/>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Declare a winner</w:t>
      </w:r>
    </w:p>
    <w:p w14:paraId="31D1A131" w14:textId="77777777" w:rsidR="00AC514A" w:rsidRPr="00AC514A" w:rsidRDefault="00AC514A" w:rsidP="00AC514A">
      <w:pPr>
        <w:numPr>
          <w:ilvl w:val="0"/>
          <w:numId w:val="17"/>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Write a 150–200 word verdict explaining why the winner is the best pick at current prices</w:t>
      </w:r>
    </w:p>
    <w:p w14:paraId="5221965D" w14:textId="77777777" w:rsidR="00AC514A" w:rsidRPr="00AC514A" w:rsidRDefault="00AC514A" w:rsidP="00AC514A">
      <w:pPr>
        <w:numPr>
          <w:ilvl w:val="0"/>
          <w:numId w:val="17"/>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Write a 4-bullet shortcomings section for each of the other two companies</w:t>
      </w:r>
    </w:p>
    <w:p w14:paraId="6D924526" w14:textId="77777777" w:rsidR="00AC514A" w:rsidRPr="00AC514A" w:rsidRDefault="00AC514A" w:rsidP="00AC514A">
      <w:pPr>
        <w:spacing w:after="0" w:line="240" w:lineRule="auto"/>
        <w:rPr>
          <w:rFonts w:ascii="Times New Roman" w:eastAsia="Times New Roman" w:hAnsi="Times New Roman" w:cs="Times New Roman"/>
          <w:kern w:val="0"/>
          <w:sz w:val="24"/>
          <w:szCs w:val="24"/>
          <w:lang w:eastAsia="en-IN"/>
          <w14:ligatures w14:val="none"/>
        </w:rPr>
      </w:pPr>
      <w:r w:rsidRPr="00AC514A">
        <w:rPr>
          <w:rFonts w:ascii="Times New Roman" w:eastAsia="Times New Roman" w:hAnsi="Times New Roman" w:cs="Times New Roman"/>
          <w:kern w:val="0"/>
          <w:sz w:val="24"/>
          <w:szCs w:val="24"/>
          <w:lang w:eastAsia="en-IN"/>
          <w14:ligatures w14:val="none"/>
        </w:rPr>
        <w:pict w14:anchorId="4DEA96A3">
          <v:rect id="_x0000_i1035" style="width:0;height:1.5pt" o:hralign="center" o:hrstd="t" o:hr="t" fillcolor="#a0a0a0" stroked="f"/>
        </w:pict>
      </w:r>
    </w:p>
    <w:p w14:paraId="1F73BB11" w14:textId="77777777" w:rsidR="00AC514A" w:rsidRPr="00AC514A" w:rsidRDefault="00AC514A" w:rsidP="00AC514A">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AC514A">
        <w:rPr>
          <w:rFonts w:ascii="Arial" w:eastAsia="Times New Roman" w:hAnsi="Arial" w:cs="Arial"/>
          <w:b/>
          <w:bCs/>
          <w:color w:val="000000"/>
          <w:kern w:val="0"/>
          <w:sz w:val="34"/>
          <w:szCs w:val="34"/>
          <w:lang w:eastAsia="en-IN"/>
          <w14:ligatures w14:val="none"/>
        </w:rPr>
        <w:t>[OUTPUT SPECIFICATION] — Interactive HTML Dashboard</w:t>
      </w:r>
    </w:p>
    <w:p w14:paraId="35DC432F"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 xml:space="preserve">Produce a single, self-contained </w:t>
      </w:r>
      <w:r w:rsidRPr="00AC514A">
        <w:rPr>
          <w:rFonts w:ascii="Roboto Mono" w:eastAsia="Times New Roman" w:hAnsi="Roboto Mono" w:cs="Times New Roman"/>
          <w:b/>
          <w:bCs/>
          <w:color w:val="188038"/>
          <w:kern w:val="0"/>
          <w:sz w:val="20"/>
          <w:szCs w:val="20"/>
          <w:lang w:eastAsia="en-IN"/>
          <w14:ligatures w14:val="none"/>
        </w:rPr>
        <w:t>.html</w:t>
      </w:r>
      <w:r w:rsidRPr="00AC514A">
        <w:rPr>
          <w:rFonts w:ascii="Arial" w:eastAsia="Times New Roman" w:hAnsi="Arial" w:cs="Arial"/>
          <w:b/>
          <w:bCs/>
          <w:color w:val="000000"/>
          <w:kern w:val="0"/>
          <w:sz w:val="20"/>
          <w:szCs w:val="20"/>
          <w:lang w:eastAsia="en-IN"/>
          <w14:ligatures w14:val="none"/>
        </w:rPr>
        <w:t xml:space="preserve"> file with the following specifications. All libraries must be loaded from CDN. The file must open and render correctly in Chrome/Firefox/Safari/Edge by double-clicking, with no server, no build tool, no internet connection required after first CDN load.</w:t>
      </w:r>
    </w:p>
    <w:p w14:paraId="5E0A2AE7" w14:textId="77777777" w:rsidR="00AC514A" w:rsidRPr="00AC514A" w:rsidRDefault="00AC514A" w:rsidP="00AC514A">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AC514A">
        <w:rPr>
          <w:rFonts w:ascii="Arial" w:eastAsia="Times New Roman" w:hAnsi="Arial" w:cs="Arial"/>
          <w:b/>
          <w:bCs/>
          <w:color w:val="000000"/>
          <w:kern w:val="0"/>
          <w:sz w:val="26"/>
          <w:szCs w:val="26"/>
          <w:lang w:eastAsia="en-IN"/>
          <w14:ligatures w14:val="none"/>
        </w:rPr>
        <w:t>Technology Stack</w:t>
      </w:r>
    </w:p>
    <w:p w14:paraId="471CCF09" w14:textId="77777777" w:rsidR="00AC514A" w:rsidRPr="00AC514A" w:rsidRDefault="00AC514A" w:rsidP="00AC514A">
      <w:pPr>
        <w:numPr>
          <w:ilvl w:val="0"/>
          <w:numId w:val="18"/>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Charts: Chart.js 4.4.0 from cdnjs.cloudflare.com</w:t>
      </w:r>
    </w:p>
    <w:p w14:paraId="373F746C" w14:textId="77777777" w:rsidR="00AC514A" w:rsidRPr="00AC514A" w:rsidRDefault="00AC514A" w:rsidP="00AC514A">
      <w:pPr>
        <w:numPr>
          <w:ilvl w:val="0"/>
          <w:numId w:val="18"/>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 xml:space="preserve">Fonts: Google Fonts — </w:t>
      </w:r>
      <w:r w:rsidRPr="00AC514A">
        <w:rPr>
          <w:rFonts w:ascii="Roboto Mono" w:eastAsia="Times New Roman" w:hAnsi="Roboto Mono" w:cs="Arial"/>
          <w:b/>
          <w:bCs/>
          <w:color w:val="188038"/>
          <w:kern w:val="0"/>
          <w:sz w:val="20"/>
          <w:szCs w:val="20"/>
          <w:lang w:eastAsia="en-IN"/>
          <w14:ligatures w14:val="none"/>
        </w:rPr>
        <w:t>Cormorant Garamond</w:t>
      </w:r>
      <w:r w:rsidRPr="00AC514A">
        <w:rPr>
          <w:rFonts w:ascii="Arial" w:eastAsia="Times New Roman" w:hAnsi="Arial" w:cs="Arial"/>
          <w:b/>
          <w:bCs/>
          <w:color w:val="000000"/>
          <w:kern w:val="0"/>
          <w:sz w:val="20"/>
          <w:szCs w:val="20"/>
          <w:lang w:eastAsia="en-IN"/>
          <w14:ligatures w14:val="none"/>
        </w:rPr>
        <w:t xml:space="preserve"> (serif display), </w:t>
      </w:r>
      <w:r w:rsidRPr="00AC514A">
        <w:rPr>
          <w:rFonts w:ascii="Roboto Mono" w:eastAsia="Times New Roman" w:hAnsi="Roboto Mono" w:cs="Arial"/>
          <w:b/>
          <w:bCs/>
          <w:color w:val="188038"/>
          <w:kern w:val="0"/>
          <w:sz w:val="20"/>
          <w:szCs w:val="20"/>
          <w:lang w:eastAsia="en-IN"/>
          <w14:ligatures w14:val="none"/>
        </w:rPr>
        <w:t>DM Mono</w:t>
      </w:r>
      <w:r w:rsidRPr="00AC514A">
        <w:rPr>
          <w:rFonts w:ascii="Arial" w:eastAsia="Times New Roman" w:hAnsi="Arial" w:cs="Arial"/>
          <w:b/>
          <w:bCs/>
          <w:color w:val="000000"/>
          <w:kern w:val="0"/>
          <w:sz w:val="20"/>
          <w:szCs w:val="20"/>
          <w:lang w:eastAsia="en-IN"/>
          <w14:ligatures w14:val="none"/>
        </w:rPr>
        <w:t xml:space="preserve"> (monospace data), </w:t>
      </w:r>
      <w:r w:rsidRPr="00AC514A">
        <w:rPr>
          <w:rFonts w:ascii="Roboto Mono" w:eastAsia="Times New Roman" w:hAnsi="Roboto Mono" w:cs="Arial"/>
          <w:b/>
          <w:bCs/>
          <w:color w:val="188038"/>
          <w:kern w:val="0"/>
          <w:sz w:val="20"/>
          <w:szCs w:val="20"/>
          <w:lang w:eastAsia="en-IN"/>
          <w14:ligatures w14:val="none"/>
        </w:rPr>
        <w:t>Sora</w:t>
      </w:r>
      <w:r w:rsidRPr="00AC514A">
        <w:rPr>
          <w:rFonts w:ascii="Arial" w:eastAsia="Times New Roman" w:hAnsi="Arial" w:cs="Arial"/>
          <w:b/>
          <w:bCs/>
          <w:color w:val="000000"/>
          <w:kern w:val="0"/>
          <w:sz w:val="20"/>
          <w:szCs w:val="20"/>
          <w:lang w:eastAsia="en-IN"/>
          <w14:ligatures w14:val="none"/>
        </w:rPr>
        <w:t xml:space="preserve"> (sans body)</w:t>
      </w:r>
    </w:p>
    <w:p w14:paraId="18621925" w14:textId="77777777" w:rsidR="00AC514A" w:rsidRPr="00AC514A" w:rsidRDefault="00AC514A" w:rsidP="00AC514A">
      <w:pPr>
        <w:numPr>
          <w:ilvl w:val="0"/>
          <w:numId w:val="18"/>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Framework: Vanilla HTML + CSS + JavaScript only (no React, no Vue, no build step)</w:t>
      </w:r>
    </w:p>
    <w:p w14:paraId="066B65FB" w14:textId="77777777" w:rsidR="00AC514A" w:rsidRPr="00AC514A" w:rsidRDefault="00AC514A" w:rsidP="00AC514A">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AC514A">
        <w:rPr>
          <w:rFonts w:ascii="Arial" w:eastAsia="Times New Roman" w:hAnsi="Arial" w:cs="Arial"/>
          <w:b/>
          <w:bCs/>
          <w:color w:val="000000"/>
          <w:kern w:val="0"/>
          <w:sz w:val="26"/>
          <w:szCs w:val="26"/>
          <w:lang w:eastAsia="en-IN"/>
          <w14:ligatures w14:val="none"/>
        </w:rPr>
        <w:t>Design System</w:t>
      </w:r>
    </w:p>
    <w:p w14:paraId="6133F0E0"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Color palette:</w:t>
      </w:r>
    </w:p>
    <w:p w14:paraId="20AC9F0A" w14:textId="77777777" w:rsidR="00AC514A" w:rsidRPr="00AC514A" w:rsidRDefault="00AC514A" w:rsidP="00AC514A">
      <w:pPr>
        <w:spacing w:after="30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--bg:      #080D18   (page background — deep navy)</w:t>
      </w:r>
    </w:p>
    <w:p w14:paraId="195DF80F" w14:textId="77777777" w:rsidR="00AC514A" w:rsidRPr="00AC514A" w:rsidRDefault="00AC514A" w:rsidP="00AC514A">
      <w:pPr>
        <w:spacing w:after="30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--surface: #0F1729   (secondary surfaces)</w:t>
      </w:r>
    </w:p>
    <w:p w14:paraId="45021E7B" w14:textId="77777777" w:rsidR="00AC514A" w:rsidRPr="00AC514A" w:rsidRDefault="00AC514A" w:rsidP="00AC514A">
      <w:pPr>
        <w:spacing w:after="30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--card:    #141E30   (card backgrounds)</w:t>
      </w:r>
    </w:p>
    <w:p w14:paraId="7D583603" w14:textId="77777777" w:rsidR="00AC514A" w:rsidRPr="00AC514A" w:rsidRDefault="00AC514A" w:rsidP="00AC514A">
      <w:pPr>
        <w:spacing w:after="30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--border:  #1E3050   (borders)</w:t>
      </w:r>
    </w:p>
    <w:p w14:paraId="3C1D0F6B" w14:textId="77777777" w:rsidR="00AC514A" w:rsidRPr="00AC514A" w:rsidRDefault="00AC514A" w:rsidP="00AC514A">
      <w:pPr>
        <w:spacing w:after="30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--text:    #E2E8F0   (primary text)</w:t>
      </w:r>
    </w:p>
    <w:p w14:paraId="41E55F4D" w14:textId="77777777" w:rsidR="00AC514A" w:rsidRPr="00AC514A" w:rsidRDefault="00AC514A" w:rsidP="00AC514A">
      <w:pPr>
        <w:spacing w:after="30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--dim:     #94A3B8   (secondary text)</w:t>
      </w:r>
    </w:p>
    <w:p w14:paraId="1785E83D" w14:textId="77777777" w:rsidR="00AC514A" w:rsidRPr="00AC514A" w:rsidRDefault="00AC514A" w:rsidP="00AC514A">
      <w:pPr>
        <w:spacing w:after="30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--muted:   #4E5D73   (tertiary/labels)</w:t>
      </w:r>
    </w:p>
    <w:p w14:paraId="072B28C8" w14:textId="77777777" w:rsidR="00AC514A" w:rsidRPr="00AC514A" w:rsidRDefault="00AC514A" w:rsidP="00AC514A">
      <w:pPr>
        <w:spacing w:after="30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--gold:    #D4AF37   (winner accent, headers)</w:t>
      </w:r>
    </w:p>
    <w:p w14:paraId="1DC8321D" w14:textId="77777777" w:rsidR="00AC514A" w:rsidRPr="00AC514A" w:rsidRDefault="00AC514A" w:rsidP="00AC514A">
      <w:pPr>
        <w:spacing w:after="30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--green:   #22C55E   (positive/best values)</w:t>
      </w:r>
    </w:p>
    <w:p w14:paraId="24373184" w14:textId="77777777" w:rsidR="00AC514A" w:rsidRPr="00AC514A" w:rsidRDefault="00AC514A" w:rsidP="00AC514A">
      <w:pPr>
        <w:spacing w:after="30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lastRenderedPageBreak/>
        <w:t>--amber:   #F59E0B   (neutral/mid values)</w:t>
      </w:r>
    </w:p>
    <w:p w14:paraId="74736A85" w14:textId="77777777" w:rsidR="00AC514A" w:rsidRPr="00AC514A" w:rsidRDefault="00AC514A" w:rsidP="00AC514A">
      <w:pPr>
        <w:spacing w:after="30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--red:     #EF4444   (negative/worst values)</w:t>
      </w:r>
    </w:p>
    <w:p w14:paraId="0ACA5ACB" w14:textId="77777777" w:rsidR="00AC514A" w:rsidRPr="00AC514A" w:rsidRDefault="00AC514A" w:rsidP="00AC514A">
      <w:pPr>
        <w:spacing w:after="0" w:line="240" w:lineRule="auto"/>
        <w:rPr>
          <w:rFonts w:ascii="Times New Roman" w:eastAsia="Times New Roman" w:hAnsi="Times New Roman" w:cs="Times New Roman"/>
          <w:kern w:val="0"/>
          <w:sz w:val="24"/>
          <w:szCs w:val="24"/>
          <w:lang w:eastAsia="en-IN"/>
          <w14:ligatures w14:val="none"/>
        </w:rPr>
      </w:pPr>
    </w:p>
    <w:p w14:paraId="1009D592"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Company colors (assign in this order):</w:t>
      </w:r>
    </w:p>
    <w:p w14:paraId="645301E0" w14:textId="77777777" w:rsidR="00AC514A" w:rsidRPr="00AC514A" w:rsidRDefault="00AC514A" w:rsidP="00AC514A">
      <w:pPr>
        <w:numPr>
          <w:ilvl w:val="0"/>
          <w:numId w:val="19"/>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 xml:space="preserve">Company 1: </w:t>
      </w:r>
      <w:r w:rsidRPr="00AC514A">
        <w:rPr>
          <w:rFonts w:ascii="Roboto Mono" w:eastAsia="Times New Roman" w:hAnsi="Roboto Mono" w:cs="Arial"/>
          <w:b/>
          <w:bCs/>
          <w:color w:val="188038"/>
          <w:kern w:val="0"/>
          <w:sz w:val="20"/>
          <w:szCs w:val="20"/>
          <w:lang w:eastAsia="en-IN"/>
          <w14:ligatures w14:val="none"/>
        </w:rPr>
        <w:t>#3B82F6</w:t>
      </w:r>
      <w:r w:rsidRPr="00AC514A">
        <w:rPr>
          <w:rFonts w:ascii="Arial" w:eastAsia="Times New Roman" w:hAnsi="Arial" w:cs="Arial"/>
          <w:b/>
          <w:bCs/>
          <w:color w:val="000000"/>
          <w:kern w:val="0"/>
          <w:sz w:val="20"/>
          <w:szCs w:val="20"/>
          <w:lang w:eastAsia="en-IN"/>
          <w14:ligatures w14:val="none"/>
        </w:rPr>
        <w:t xml:space="preserve"> (blue)</w:t>
      </w:r>
    </w:p>
    <w:p w14:paraId="5F7BE549" w14:textId="77777777" w:rsidR="00AC514A" w:rsidRPr="00AC514A" w:rsidRDefault="00AC514A" w:rsidP="00AC514A">
      <w:pPr>
        <w:numPr>
          <w:ilvl w:val="0"/>
          <w:numId w:val="19"/>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 xml:space="preserve">Company 2: </w:t>
      </w:r>
      <w:r w:rsidRPr="00AC514A">
        <w:rPr>
          <w:rFonts w:ascii="Roboto Mono" w:eastAsia="Times New Roman" w:hAnsi="Roboto Mono" w:cs="Arial"/>
          <w:b/>
          <w:bCs/>
          <w:color w:val="188038"/>
          <w:kern w:val="0"/>
          <w:sz w:val="20"/>
          <w:szCs w:val="20"/>
          <w:lang w:eastAsia="en-IN"/>
          <w14:ligatures w14:val="none"/>
        </w:rPr>
        <w:t>#F97316</w:t>
      </w:r>
      <w:r w:rsidRPr="00AC514A">
        <w:rPr>
          <w:rFonts w:ascii="Arial" w:eastAsia="Times New Roman" w:hAnsi="Arial" w:cs="Arial"/>
          <w:b/>
          <w:bCs/>
          <w:color w:val="000000"/>
          <w:kern w:val="0"/>
          <w:sz w:val="20"/>
          <w:szCs w:val="20"/>
          <w:lang w:eastAsia="en-IN"/>
          <w14:ligatures w14:val="none"/>
        </w:rPr>
        <w:t xml:space="preserve"> (orange)</w:t>
      </w:r>
    </w:p>
    <w:p w14:paraId="2F18057A" w14:textId="77777777" w:rsidR="00AC514A" w:rsidRPr="00AC514A" w:rsidRDefault="00AC514A" w:rsidP="00AC514A">
      <w:pPr>
        <w:numPr>
          <w:ilvl w:val="0"/>
          <w:numId w:val="19"/>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 xml:space="preserve">Company 3: </w:t>
      </w:r>
      <w:r w:rsidRPr="00AC514A">
        <w:rPr>
          <w:rFonts w:ascii="Roboto Mono" w:eastAsia="Times New Roman" w:hAnsi="Roboto Mono" w:cs="Arial"/>
          <w:b/>
          <w:bCs/>
          <w:color w:val="188038"/>
          <w:kern w:val="0"/>
          <w:sz w:val="20"/>
          <w:szCs w:val="20"/>
          <w:lang w:eastAsia="en-IN"/>
          <w14:ligatures w14:val="none"/>
        </w:rPr>
        <w:t>#10B981</w:t>
      </w:r>
      <w:r w:rsidRPr="00AC514A">
        <w:rPr>
          <w:rFonts w:ascii="Arial" w:eastAsia="Times New Roman" w:hAnsi="Arial" w:cs="Arial"/>
          <w:b/>
          <w:bCs/>
          <w:color w:val="000000"/>
          <w:kern w:val="0"/>
          <w:sz w:val="20"/>
          <w:szCs w:val="20"/>
          <w:lang w:eastAsia="en-IN"/>
          <w14:ligatures w14:val="none"/>
        </w:rPr>
        <w:t xml:space="preserve"> (green)</w:t>
      </w:r>
    </w:p>
    <w:p w14:paraId="4796D8A2" w14:textId="77777777" w:rsidR="00AC514A" w:rsidRPr="00AC514A" w:rsidRDefault="00AC514A" w:rsidP="00AC514A">
      <w:pPr>
        <w:numPr>
          <w:ilvl w:val="0"/>
          <w:numId w:val="19"/>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 xml:space="preserve">Company 4 (if applicable): </w:t>
      </w:r>
      <w:r w:rsidRPr="00AC514A">
        <w:rPr>
          <w:rFonts w:ascii="Roboto Mono" w:eastAsia="Times New Roman" w:hAnsi="Roboto Mono" w:cs="Arial"/>
          <w:b/>
          <w:bCs/>
          <w:color w:val="188038"/>
          <w:kern w:val="0"/>
          <w:sz w:val="20"/>
          <w:szCs w:val="20"/>
          <w:lang w:eastAsia="en-IN"/>
          <w14:ligatures w14:val="none"/>
        </w:rPr>
        <w:t>#A855F7</w:t>
      </w:r>
      <w:r w:rsidRPr="00AC514A">
        <w:rPr>
          <w:rFonts w:ascii="Arial" w:eastAsia="Times New Roman" w:hAnsi="Arial" w:cs="Arial"/>
          <w:b/>
          <w:bCs/>
          <w:color w:val="000000"/>
          <w:kern w:val="0"/>
          <w:sz w:val="20"/>
          <w:szCs w:val="20"/>
          <w:lang w:eastAsia="en-IN"/>
          <w14:ligatures w14:val="none"/>
        </w:rPr>
        <w:t xml:space="preserve"> (purple)</w:t>
      </w:r>
    </w:p>
    <w:p w14:paraId="0101AB5A"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Typography:</w:t>
      </w:r>
    </w:p>
    <w:p w14:paraId="38174FC5" w14:textId="77777777" w:rsidR="00AC514A" w:rsidRPr="00AC514A" w:rsidRDefault="00AC514A" w:rsidP="00AC514A">
      <w:pPr>
        <w:numPr>
          <w:ilvl w:val="0"/>
          <w:numId w:val="20"/>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Section headers: Cormorant Garamond, 22px, weight 700</w:t>
      </w:r>
    </w:p>
    <w:p w14:paraId="715C1B9F" w14:textId="77777777" w:rsidR="00AC514A" w:rsidRPr="00AC514A" w:rsidRDefault="00AC514A" w:rsidP="00AC514A">
      <w:pPr>
        <w:numPr>
          <w:ilvl w:val="0"/>
          <w:numId w:val="20"/>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Report title: Cormorant Garamond, 28–30px, weight 700</w:t>
      </w:r>
    </w:p>
    <w:p w14:paraId="759C8D02" w14:textId="77777777" w:rsidR="00AC514A" w:rsidRPr="00AC514A" w:rsidRDefault="00AC514A" w:rsidP="00AC514A">
      <w:pPr>
        <w:numPr>
          <w:ilvl w:val="0"/>
          <w:numId w:val="20"/>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Tab labels, metric names, category labels: DM Mono, 9–10px, uppercase, letter-spacing 0.18em</w:t>
      </w:r>
    </w:p>
    <w:p w14:paraId="11DA7573" w14:textId="77777777" w:rsidR="00AC514A" w:rsidRPr="00AC514A" w:rsidRDefault="00AC514A" w:rsidP="00AC514A">
      <w:pPr>
        <w:numPr>
          <w:ilvl w:val="0"/>
          <w:numId w:val="20"/>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Body text, card descriptions: Sora, 11–12px, line-height 1.75</w:t>
      </w:r>
    </w:p>
    <w:p w14:paraId="04D869AA" w14:textId="77777777" w:rsidR="00AC514A" w:rsidRPr="00AC514A" w:rsidRDefault="00AC514A" w:rsidP="00AC514A">
      <w:pPr>
        <w:numPr>
          <w:ilvl w:val="0"/>
          <w:numId w:val="20"/>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Data values in tables: DM Mono, 11px, weight 500</w:t>
      </w:r>
    </w:p>
    <w:p w14:paraId="7D5A4AAA" w14:textId="77777777" w:rsidR="00AC514A" w:rsidRPr="00AC514A" w:rsidRDefault="00AC514A" w:rsidP="00AC514A">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AC514A">
        <w:rPr>
          <w:rFonts w:ascii="Arial" w:eastAsia="Times New Roman" w:hAnsi="Arial" w:cs="Arial"/>
          <w:b/>
          <w:bCs/>
          <w:color w:val="000000"/>
          <w:kern w:val="0"/>
          <w:sz w:val="26"/>
          <w:szCs w:val="26"/>
          <w:lang w:eastAsia="en-IN"/>
          <w14:ligatures w14:val="none"/>
        </w:rPr>
        <w:t>Layout Structure</w:t>
      </w:r>
    </w:p>
    <w:p w14:paraId="0BEF4689"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1. Header</w:t>
      </w:r>
    </w:p>
    <w:p w14:paraId="7571A319" w14:textId="77777777" w:rsidR="00AC514A" w:rsidRPr="00AC514A" w:rsidRDefault="00AC514A" w:rsidP="00AC514A">
      <w:pPr>
        <w:numPr>
          <w:ilvl w:val="0"/>
          <w:numId w:val="21"/>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Dark gradient background with radial gold glow in top-right corner</w:t>
      </w:r>
    </w:p>
    <w:p w14:paraId="238AF22A" w14:textId="77777777" w:rsidR="00AC514A" w:rsidRPr="00AC514A" w:rsidRDefault="00AC514A" w:rsidP="00AC514A">
      <w:pPr>
        <w:numPr>
          <w:ilvl w:val="0"/>
          <w:numId w:val="21"/>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Gold horizontal rule at bottom of header (gradient: transparent → gold → transparent)</w:t>
      </w:r>
    </w:p>
    <w:p w14:paraId="2479074E" w14:textId="77777777" w:rsidR="00AC514A" w:rsidRPr="00AC514A" w:rsidRDefault="00AC514A" w:rsidP="00AC514A">
      <w:pPr>
        <w:numPr>
          <w:ilvl w:val="0"/>
          <w:numId w:val="21"/>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Report tag: "Equity Research Report · [Sector Name]" in DM Mono gold</w:t>
      </w:r>
    </w:p>
    <w:p w14:paraId="521A1134" w14:textId="77777777" w:rsidR="00AC514A" w:rsidRPr="00AC514A" w:rsidRDefault="00AC514A" w:rsidP="00AC514A">
      <w:pPr>
        <w:numPr>
          <w:ilvl w:val="0"/>
          <w:numId w:val="21"/>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Title: "Investment Comparison: [Co1] · [Co2] · [Co3]"</w:t>
      </w:r>
    </w:p>
    <w:p w14:paraId="4D12D7E0" w14:textId="77777777" w:rsidR="00AC514A" w:rsidRPr="00AC514A" w:rsidRDefault="00AC514A" w:rsidP="00AC514A">
      <w:pPr>
        <w:numPr>
          <w:ilvl w:val="0"/>
          <w:numId w:val="21"/>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Metadata row: Date, Sector, Exchange, Currency</w:t>
      </w:r>
    </w:p>
    <w:p w14:paraId="66F07A00"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2. Score Cards (below header)</w:t>
      </w:r>
    </w:p>
    <w:p w14:paraId="328532BC" w14:textId="77777777" w:rsidR="00AC514A" w:rsidRPr="00AC514A" w:rsidRDefault="00AC514A" w:rsidP="00AC514A">
      <w:pPr>
        <w:numPr>
          <w:ilvl w:val="0"/>
          <w:numId w:val="22"/>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3-column grid (or N-column for N stocks)</w:t>
      </w:r>
    </w:p>
    <w:p w14:paraId="3AF81CE1" w14:textId="77777777" w:rsidR="00AC514A" w:rsidRPr="00AC514A" w:rsidRDefault="00AC514A" w:rsidP="00AC514A">
      <w:pPr>
        <w:numPr>
          <w:ilvl w:val="0"/>
          <w:numId w:val="22"/>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Each card: company dot + name, type label, animated score counter (counts from 0 to final), score bar</w:t>
      </w:r>
    </w:p>
    <w:p w14:paraId="5B78C19F" w14:textId="77777777" w:rsidR="00AC514A" w:rsidRPr="00AC514A" w:rsidRDefault="00AC514A" w:rsidP="00AC514A">
      <w:pPr>
        <w:numPr>
          <w:ilvl w:val="0"/>
          <w:numId w:val="22"/>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Winner card: gold border, top gold gradient line, "</w:t>
      </w:r>
      <w:r w:rsidRPr="00AC514A">
        <w:rPr>
          <w:rFonts w:ascii="Segoe UI Emoji" w:eastAsia="Times New Roman" w:hAnsi="Segoe UI Emoji" w:cs="Segoe UI Emoji"/>
          <w:b/>
          <w:bCs/>
          <w:color w:val="000000"/>
          <w:kern w:val="0"/>
          <w:sz w:val="20"/>
          <w:szCs w:val="20"/>
          <w:lang w:eastAsia="en-IN"/>
          <w14:ligatures w14:val="none"/>
        </w:rPr>
        <w:t>🏆</w:t>
      </w:r>
      <w:r w:rsidRPr="00AC514A">
        <w:rPr>
          <w:rFonts w:ascii="Arial" w:eastAsia="Times New Roman" w:hAnsi="Arial" w:cs="Arial"/>
          <w:b/>
          <w:bCs/>
          <w:color w:val="000000"/>
          <w:kern w:val="0"/>
          <w:sz w:val="20"/>
          <w:szCs w:val="20"/>
          <w:lang w:eastAsia="en-IN"/>
          <w14:ligatures w14:val="none"/>
        </w:rPr>
        <w:t xml:space="preserve"> Best Pick" badge</w:t>
      </w:r>
    </w:p>
    <w:p w14:paraId="42A8E174" w14:textId="77777777" w:rsidR="00AC514A" w:rsidRPr="00AC514A" w:rsidRDefault="00AC514A" w:rsidP="00AC514A">
      <w:pPr>
        <w:numPr>
          <w:ilvl w:val="0"/>
          <w:numId w:val="22"/>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Score bars animate width from 0% to final percentage on page load (CSS transition, 1.2s)</w:t>
      </w:r>
    </w:p>
    <w:p w14:paraId="63DE002C" w14:textId="77777777" w:rsidR="00AC514A" w:rsidRPr="00AC514A" w:rsidRDefault="00AC514A" w:rsidP="00AC514A">
      <w:pPr>
        <w:numPr>
          <w:ilvl w:val="0"/>
          <w:numId w:val="22"/>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Score counter animates from 0 to final value using easing (cubic-bezier ease-out-expo, ~70 frames)</w:t>
      </w:r>
    </w:p>
    <w:p w14:paraId="56B97A70"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3. Tab Navigation</w:t>
      </w:r>
    </w:p>
    <w:p w14:paraId="249B0E74" w14:textId="77777777" w:rsidR="00AC514A" w:rsidRPr="00AC514A" w:rsidRDefault="00AC514A" w:rsidP="00AC514A">
      <w:pPr>
        <w:numPr>
          <w:ilvl w:val="0"/>
          <w:numId w:val="23"/>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8 tabs: Overview | Fundamentals | Financials | Performance | Outlook | Technicals | Valuation | Verdict</w:t>
      </w:r>
    </w:p>
    <w:p w14:paraId="6B8643F7" w14:textId="77777777" w:rsidR="00AC514A" w:rsidRPr="00AC514A" w:rsidRDefault="00AC514A" w:rsidP="00AC514A">
      <w:pPr>
        <w:numPr>
          <w:ilvl w:val="0"/>
          <w:numId w:val="23"/>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Tab bar: sticky to top, DM Mono uppercase, active tab = gold text + gold bottom border</w:t>
      </w:r>
    </w:p>
    <w:p w14:paraId="18EA540B" w14:textId="77777777" w:rsidR="00AC514A" w:rsidRPr="00AC514A" w:rsidRDefault="00AC514A" w:rsidP="00AC514A">
      <w:pPr>
        <w:numPr>
          <w:ilvl w:val="0"/>
          <w:numId w:val="23"/>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Tab content area: fades in from slightly below on each tab switch (CSS keyframe animation)</w:t>
      </w:r>
    </w:p>
    <w:p w14:paraId="70A6E077"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4. Footer</w:t>
      </w:r>
    </w:p>
    <w:p w14:paraId="4CFE3775" w14:textId="77777777" w:rsidR="00AC514A" w:rsidRPr="00AC514A" w:rsidRDefault="00AC514A" w:rsidP="00AC514A">
      <w:pPr>
        <w:numPr>
          <w:ilvl w:val="0"/>
          <w:numId w:val="24"/>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DM Mono, 9px, muted color</w:t>
      </w:r>
    </w:p>
    <w:p w14:paraId="4FA251A7" w14:textId="77777777" w:rsidR="00AC514A" w:rsidRPr="00AC514A" w:rsidRDefault="00AC514A" w:rsidP="00AC514A">
      <w:pPr>
        <w:numPr>
          <w:ilvl w:val="0"/>
          <w:numId w:val="24"/>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Standard disclaimer: informational purposes only, not investment advice, data sources listed, consult SEBI-registered advisor</w:t>
      </w:r>
    </w:p>
    <w:p w14:paraId="21235ED1" w14:textId="77777777" w:rsidR="00AC514A" w:rsidRPr="00AC514A" w:rsidRDefault="00AC514A" w:rsidP="00AC514A">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AC514A">
        <w:rPr>
          <w:rFonts w:ascii="Arial" w:eastAsia="Times New Roman" w:hAnsi="Arial" w:cs="Arial"/>
          <w:b/>
          <w:bCs/>
          <w:color w:val="000000"/>
          <w:kern w:val="0"/>
          <w:sz w:val="26"/>
          <w:szCs w:val="26"/>
          <w:lang w:eastAsia="en-IN"/>
          <w14:ligatures w14:val="none"/>
        </w:rPr>
        <w:lastRenderedPageBreak/>
        <w:t>Tab-by-Tab Content</w:t>
      </w:r>
    </w:p>
    <w:p w14:paraId="64F94806"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Tab 1 — Overview</w:t>
      </w:r>
    </w:p>
    <w:p w14:paraId="4A4CEEB0" w14:textId="77777777" w:rsidR="00AC514A" w:rsidRPr="00AC514A" w:rsidRDefault="00AC514A" w:rsidP="00AC514A">
      <w:pPr>
        <w:numPr>
          <w:ilvl w:val="0"/>
          <w:numId w:val="25"/>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2-column chart row:</w:t>
      </w:r>
    </w:p>
    <w:p w14:paraId="046DADFB" w14:textId="77777777" w:rsidR="00AC514A" w:rsidRPr="00AC514A" w:rsidRDefault="00AC514A" w:rsidP="00AC514A">
      <w:pPr>
        <w:numPr>
          <w:ilvl w:val="1"/>
          <w:numId w:val="25"/>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Left: Radar chart (Chart.js) — all 6 scoring categories, one polygon per company</w:t>
      </w:r>
    </w:p>
    <w:p w14:paraId="7EB83A11" w14:textId="77777777" w:rsidR="00AC514A" w:rsidRPr="00AC514A" w:rsidRDefault="00AC514A" w:rsidP="00AC514A">
      <w:pPr>
        <w:numPr>
          <w:ilvl w:val="1"/>
          <w:numId w:val="25"/>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Right: Horizontal bar chart — total scores (0–30 scale), one bar per company</w:t>
      </w:r>
    </w:p>
    <w:p w14:paraId="7C988DBE" w14:textId="77777777" w:rsidR="00AC514A" w:rsidRPr="00AC514A" w:rsidRDefault="00AC514A" w:rsidP="00AC514A">
      <w:pPr>
        <w:numPr>
          <w:ilvl w:val="0"/>
          <w:numId w:val="25"/>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Full scoring table below: categories as rows, companies as columns, color-highlight the winner per row</w:t>
      </w:r>
    </w:p>
    <w:p w14:paraId="03829DB3"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Tab 2 — Fundamentals</w:t>
      </w:r>
    </w:p>
    <w:p w14:paraId="44E89041" w14:textId="77777777" w:rsidR="00AC514A" w:rsidRPr="00AC514A" w:rsidRDefault="00AC514A" w:rsidP="00AC514A">
      <w:pPr>
        <w:numPr>
          <w:ilvl w:val="0"/>
          <w:numId w:val="26"/>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3 company cards in a row (or grid for N companies)</w:t>
      </w:r>
    </w:p>
    <w:p w14:paraId="28F2D83E" w14:textId="77777777" w:rsidR="00AC514A" w:rsidRPr="00AC514A" w:rsidRDefault="00AC514A" w:rsidP="00AC514A">
      <w:pPr>
        <w:numPr>
          <w:ilvl w:val="0"/>
          <w:numId w:val="26"/>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Each card: colored top border, sentiment badge (Positive/Cautious/Mixed), company name in serif gold</w:t>
      </w:r>
    </w:p>
    <w:p w14:paraId="075E9912" w14:textId="77777777" w:rsidR="00AC514A" w:rsidRPr="00AC514A" w:rsidRDefault="00AC514A" w:rsidP="00AC514A">
      <w:pPr>
        <w:numPr>
          <w:ilvl w:val="0"/>
          <w:numId w:val="26"/>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Three labeled sections per card: Core Business | Recent Developments | Market Sentiment</w:t>
      </w:r>
    </w:p>
    <w:p w14:paraId="5322F326"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Tab 3 — Financials</w:t>
      </w:r>
    </w:p>
    <w:p w14:paraId="7ED6C7B3"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i/>
          <w:iCs/>
          <w:color w:val="000000"/>
          <w:kern w:val="0"/>
          <w:sz w:val="20"/>
          <w:szCs w:val="20"/>
          <w:lang w:eastAsia="en-IN"/>
          <w14:ligatures w14:val="none"/>
        </w:rPr>
        <w:t>Section A — Annual Metrics:</w:t>
      </w:r>
    </w:p>
    <w:p w14:paraId="10B8287F" w14:textId="77777777" w:rsidR="00AC514A" w:rsidRPr="00AC514A" w:rsidRDefault="00AC514A" w:rsidP="00AC514A">
      <w:pPr>
        <w:numPr>
          <w:ilvl w:val="0"/>
          <w:numId w:val="27"/>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Grouped bar chart (Chart.js): Gross, Operating, Net margins side-by-side (annual, latest FY)</w:t>
      </w:r>
    </w:p>
    <w:p w14:paraId="03F65D64" w14:textId="77777777" w:rsidR="00AC514A" w:rsidRPr="00AC514A" w:rsidRDefault="00AC514A" w:rsidP="00AC514A">
      <w:pPr>
        <w:numPr>
          <w:ilvl w:val="0"/>
          <w:numId w:val="27"/>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Full annual metrics table: rows = metrics, columns = companies</w:t>
      </w:r>
    </w:p>
    <w:p w14:paraId="1D698339" w14:textId="77777777" w:rsidR="00AC514A" w:rsidRPr="00AC514A" w:rsidRDefault="00AC514A" w:rsidP="00AC514A">
      <w:pPr>
        <w:numPr>
          <w:ilvl w:val="0"/>
          <w:numId w:val="27"/>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Color-code each cell: green = best, amber = mid, red = weakest (for that row)</w:t>
      </w:r>
    </w:p>
    <w:p w14:paraId="73DBD687" w14:textId="77777777" w:rsidR="00AC514A" w:rsidRPr="00AC514A" w:rsidRDefault="00AC514A" w:rsidP="00AC514A">
      <w:pPr>
        <w:numPr>
          <w:ilvl w:val="0"/>
          <w:numId w:val="27"/>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Legend: green = best, amber = mid, red = weakest</w:t>
      </w:r>
    </w:p>
    <w:p w14:paraId="53C1FB6B" w14:textId="77777777" w:rsidR="00AC514A" w:rsidRPr="00AC514A" w:rsidRDefault="00AC514A" w:rsidP="00AC514A">
      <w:pPr>
        <w:numPr>
          <w:ilvl w:val="0"/>
          <w:numId w:val="27"/>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Notes below table for NBFC or non-comparable metrics, with period label in header (e.g., "FY25 Annual")</w:t>
      </w:r>
    </w:p>
    <w:p w14:paraId="53D713CF"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i/>
          <w:iCs/>
          <w:color w:val="000000"/>
          <w:kern w:val="0"/>
          <w:sz w:val="20"/>
          <w:szCs w:val="20"/>
          <w:lang w:eastAsia="en-IN"/>
          <w14:ligatures w14:val="none"/>
        </w:rPr>
        <w:t>Section B — Quarterly Trends (new, placed below annual section):</w:t>
      </w:r>
    </w:p>
    <w:p w14:paraId="7D1FC12A" w14:textId="77777777" w:rsidR="00AC514A" w:rsidRPr="00AC514A" w:rsidRDefault="00AC514A" w:rsidP="00AC514A">
      <w:pPr>
        <w:numPr>
          <w:ilvl w:val="0"/>
          <w:numId w:val="28"/>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 xml:space="preserve">Quarterly trend chart (Chart.js line or grouped bar): Plot the most recent 6–8 quarters on the X-axis. Show one line/bar series per company for each of: Revenue, EBITDA (or Operating Profit), and PAT. Use a tabbed or toggle approach within the section if showing all three metrics on one chart would be too cluttered — e.g., a sub-toggle: </w:t>
      </w:r>
      <w:r w:rsidRPr="00AC514A">
        <w:rPr>
          <w:rFonts w:ascii="Roboto Mono" w:eastAsia="Times New Roman" w:hAnsi="Roboto Mono" w:cs="Arial"/>
          <w:b/>
          <w:bCs/>
          <w:color w:val="188038"/>
          <w:kern w:val="0"/>
          <w:sz w:val="20"/>
          <w:szCs w:val="20"/>
          <w:lang w:eastAsia="en-IN"/>
          <w14:ligatures w14:val="none"/>
        </w:rPr>
        <w:t>Revenue | EBITDA | PAT</w:t>
      </w:r>
      <w:r w:rsidRPr="00AC514A">
        <w:rPr>
          <w:rFonts w:ascii="Arial" w:eastAsia="Times New Roman" w:hAnsi="Arial" w:cs="Arial"/>
          <w:b/>
          <w:bCs/>
          <w:color w:val="000000"/>
          <w:kern w:val="0"/>
          <w:sz w:val="20"/>
          <w:szCs w:val="20"/>
          <w:lang w:eastAsia="en-IN"/>
          <w14:ligatures w14:val="none"/>
        </w:rPr>
        <w:t>. Each series uses the company's assigned color.</w:t>
      </w:r>
    </w:p>
    <w:p w14:paraId="464267B6" w14:textId="77777777" w:rsidR="00AC514A" w:rsidRPr="00AC514A" w:rsidRDefault="00AC514A" w:rsidP="00AC514A">
      <w:pPr>
        <w:numPr>
          <w:ilvl w:val="0"/>
          <w:numId w:val="28"/>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Quarterly delta table: For the latest available quarter, show a structured table with the following columns per company: Quarter label | Revenue (₹ Cr) | YoY % | QoQ % | PAT (₹ Cr) | YoY % | QoQ %. Color-code YoY and QoQ cells: green if positive, red if negative.</w:t>
      </w:r>
    </w:p>
    <w:p w14:paraId="7C9189E7" w14:textId="77777777" w:rsidR="00AC514A" w:rsidRPr="00AC514A" w:rsidRDefault="00AC514A" w:rsidP="00AC514A">
      <w:pPr>
        <w:numPr>
          <w:ilvl w:val="0"/>
          <w:numId w:val="28"/>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Trend narrative cards: One card per company (colored top border) with a 2–3 sentence interpretation of the quarterly trajectory — accelerating, decelerating, lumpy, recovering, or stable. Flag any one-time items (provisioning, exceptional gains) that distort the most recent quarter.</w:t>
      </w:r>
    </w:p>
    <w:p w14:paraId="76646C7C"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Tab 4 — Performance</w:t>
      </w:r>
    </w:p>
    <w:p w14:paraId="05A2BDC6" w14:textId="77777777" w:rsidR="00AC514A" w:rsidRPr="00AC514A" w:rsidRDefault="00AC514A" w:rsidP="00AC514A">
      <w:pPr>
        <w:numPr>
          <w:ilvl w:val="0"/>
          <w:numId w:val="29"/>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3 company cards: current price, 1Y return (green/red), 5Y return, market cap, 52W high (green), 52W low (red)</w:t>
      </w:r>
    </w:p>
    <w:p w14:paraId="4F56F79F" w14:textId="77777777" w:rsidR="00AC514A" w:rsidRPr="00AC514A" w:rsidRDefault="00AC514A" w:rsidP="00AC514A">
      <w:pPr>
        <w:numPr>
          <w:ilvl w:val="0"/>
          <w:numId w:val="29"/>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Management Guidance vs. Actual table: 3 sub-cards, each showing Guided | Actual | Verdict badge</w:t>
      </w:r>
    </w:p>
    <w:p w14:paraId="56666C6C"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Tab 5 — Outlook</w:t>
      </w:r>
    </w:p>
    <w:p w14:paraId="325A4706" w14:textId="77777777" w:rsidR="00AC514A" w:rsidRPr="00AC514A" w:rsidRDefault="00AC514A" w:rsidP="00AC514A">
      <w:pPr>
        <w:numPr>
          <w:ilvl w:val="0"/>
          <w:numId w:val="30"/>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Projections table: rows = projection types, columns = companies, color-coded per company</w:t>
      </w:r>
    </w:p>
    <w:p w14:paraId="4C637836" w14:textId="77777777" w:rsidR="00AC514A" w:rsidRPr="00AC514A" w:rsidRDefault="00AC514A" w:rsidP="00AC514A">
      <w:pPr>
        <w:numPr>
          <w:ilvl w:val="0"/>
          <w:numId w:val="30"/>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lastRenderedPageBreak/>
        <w:t>2-column row: Opportunities (green chips) | Risks (red chips), grouped by company</w:t>
      </w:r>
    </w:p>
    <w:p w14:paraId="1F0790F4" w14:textId="77777777" w:rsidR="00AC514A" w:rsidRPr="00AC514A" w:rsidRDefault="00AC514A" w:rsidP="00AC514A">
      <w:pPr>
        <w:numPr>
          <w:ilvl w:val="0"/>
          <w:numId w:val="30"/>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Macro panel: 2-column grid of macro data points, left-bordered green (tailwind) or red (headwind)</w:t>
      </w:r>
    </w:p>
    <w:p w14:paraId="0050923F"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Tab 6 — Technicals</w:t>
      </w:r>
    </w:p>
    <w:p w14:paraId="2E0737CE" w14:textId="77777777" w:rsidR="00AC514A" w:rsidRPr="00AC514A" w:rsidRDefault="00AC514A" w:rsidP="00AC514A">
      <w:pPr>
        <w:numPr>
          <w:ilvl w:val="0"/>
          <w:numId w:val="31"/>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3 company cards: BULLISH/RECOVERING/BEARISH badge, price, RSI, MACD, 50D SMA, 200D SMA, Volume, Trend, Momentum</w:t>
      </w:r>
    </w:p>
    <w:p w14:paraId="65F4A729" w14:textId="77777777" w:rsidR="00AC514A" w:rsidRPr="00AC514A" w:rsidRDefault="00AC514A" w:rsidP="00AC514A">
      <w:pPr>
        <w:numPr>
          <w:ilvl w:val="0"/>
          <w:numId w:val="31"/>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2-column row below:</w:t>
      </w:r>
    </w:p>
    <w:p w14:paraId="75BDC980" w14:textId="77777777" w:rsidR="00AC514A" w:rsidRPr="00AC514A" w:rsidRDefault="00AC514A" w:rsidP="00AC514A">
      <w:pPr>
        <w:numPr>
          <w:ilvl w:val="1"/>
          <w:numId w:val="31"/>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Left: RSI bar chart (Chart.js) — one bar per company, company colors</w:t>
      </w:r>
    </w:p>
    <w:p w14:paraId="0CE82C23" w14:textId="77777777" w:rsidR="00AC514A" w:rsidRPr="00AC514A" w:rsidRDefault="00AC514A" w:rsidP="00AC514A">
      <w:pPr>
        <w:numPr>
          <w:ilvl w:val="1"/>
          <w:numId w:val="31"/>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Right: Technical Verdict cards — one per company with badge + justification text</w:t>
      </w:r>
    </w:p>
    <w:p w14:paraId="41F1FF46"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Tab 7 — Valuation</w:t>
      </w:r>
    </w:p>
    <w:p w14:paraId="7BDB01FC" w14:textId="77777777" w:rsidR="00AC514A" w:rsidRPr="00AC514A" w:rsidRDefault="00AC514A" w:rsidP="00AC514A">
      <w:pPr>
        <w:numPr>
          <w:ilvl w:val="0"/>
          <w:numId w:val="32"/>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Valuation metrics table: P/E, P/B, EV/EBITDA + "Best Value" column showing winner per metric</w:t>
      </w:r>
    </w:p>
    <w:p w14:paraId="1BE80D6C" w14:textId="77777777" w:rsidR="00AC514A" w:rsidRPr="00AC514A" w:rsidRDefault="00AC514A" w:rsidP="00AC514A">
      <w:pPr>
        <w:numPr>
          <w:ilvl w:val="0"/>
          <w:numId w:val="32"/>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3 company cards: trailing P/E in large DM Mono, valuation label badge (Attractive/Fairly Valued/Expensive), commentary</w:t>
      </w:r>
    </w:p>
    <w:p w14:paraId="305798DD" w14:textId="77777777" w:rsidR="00AC514A" w:rsidRPr="00AC514A" w:rsidRDefault="00AC514A" w:rsidP="00AC514A">
      <w:pPr>
        <w:numPr>
          <w:ilvl w:val="0"/>
          <w:numId w:val="32"/>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NBFC disclaimer footnote</w:t>
      </w:r>
    </w:p>
    <w:p w14:paraId="2B902BB4"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Tab 8 — Verdict</w:t>
      </w:r>
    </w:p>
    <w:p w14:paraId="54E974ED" w14:textId="77777777" w:rsidR="00AC514A" w:rsidRPr="00AC514A" w:rsidRDefault="00AC514A" w:rsidP="00AC514A">
      <w:pPr>
        <w:numPr>
          <w:ilvl w:val="0"/>
          <w:numId w:val="33"/>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Gold gradient box: trophy icon, "Best Investment Opportunity", winner name + score in gold serif</w:t>
      </w:r>
    </w:p>
    <w:p w14:paraId="1B378E74" w14:textId="77777777" w:rsidR="00AC514A" w:rsidRPr="00AC514A" w:rsidRDefault="00AC514A" w:rsidP="00AC514A">
      <w:pPr>
        <w:numPr>
          <w:ilvl w:val="0"/>
          <w:numId w:val="33"/>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150–200 word verdict paragraph</w:t>
      </w:r>
    </w:p>
    <w:p w14:paraId="3D60B043" w14:textId="77777777" w:rsidR="00AC514A" w:rsidRPr="00AC514A" w:rsidRDefault="00AC514A" w:rsidP="00AC514A">
      <w:pPr>
        <w:numPr>
          <w:ilvl w:val="0"/>
          <w:numId w:val="33"/>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2×3 grid of key factor cards (icon + title + 2-line description) — explaining why the winner wins</w:t>
      </w:r>
    </w:p>
    <w:p w14:paraId="4156D60D" w14:textId="77777777" w:rsidR="00AC514A" w:rsidRPr="00AC514A" w:rsidRDefault="00AC514A" w:rsidP="00AC514A">
      <w:pPr>
        <w:numPr>
          <w:ilvl w:val="0"/>
          <w:numId w:val="33"/>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"Shortcomings" section: 2-column grid, one card per non-winner, 4 bullet points each (</w:t>
      </w:r>
      <w:r w:rsidRPr="00AC514A">
        <w:rPr>
          <w:rFonts w:ascii="Segoe UI Symbol" w:eastAsia="Times New Roman" w:hAnsi="Segoe UI Symbol" w:cs="Segoe UI Symbol"/>
          <w:b/>
          <w:bCs/>
          <w:color w:val="000000"/>
          <w:kern w:val="0"/>
          <w:sz w:val="20"/>
          <w:szCs w:val="20"/>
          <w:lang w:eastAsia="en-IN"/>
          <w14:ligatures w14:val="none"/>
        </w:rPr>
        <w:t>✗</w:t>
      </w:r>
      <w:r w:rsidRPr="00AC514A">
        <w:rPr>
          <w:rFonts w:ascii="Arial" w:eastAsia="Times New Roman" w:hAnsi="Arial" w:cs="Arial"/>
          <w:b/>
          <w:bCs/>
          <w:color w:val="000000"/>
          <w:kern w:val="0"/>
          <w:sz w:val="20"/>
          <w:szCs w:val="20"/>
          <w:lang w:eastAsia="en-IN"/>
          <w14:ligatures w14:val="none"/>
        </w:rPr>
        <w:t xml:space="preserve"> prefix, red marker)</w:t>
      </w:r>
    </w:p>
    <w:p w14:paraId="3B5E9726" w14:textId="77777777" w:rsidR="00AC514A" w:rsidRPr="00AC514A" w:rsidRDefault="00AC514A" w:rsidP="00AC514A">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AC514A">
        <w:rPr>
          <w:rFonts w:ascii="Arial" w:eastAsia="Times New Roman" w:hAnsi="Arial" w:cs="Arial"/>
          <w:b/>
          <w:bCs/>
          <w:color w:val="000000"/>
          <w:kern w:val="0"/>
          <w:sz w:val="26"/>
          <w:szCs w:val="26"/>
          <w:lang w:eastAsia="en-IN"/>
          <w14:ligatures w14:val="none"/>
        </w:rPr>
        <w:t>Interactive Behaviour</w:t>
      </w:r>
    </w:p>
    <w:p w14:paraId="36D97242" w14:textId="77777777" w:rsidR="00AC514A" w:rsidRPr="00AC514A" w:rsidRDefault="00AC514A" w:rsidP="00AC514A">
      <w:pPr>
        <w:numPr>
          <w:ilvl w:val="0"/>
          <w:numId w:val="34"/>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Tab switching: Content renders via JS function; previous chart instances are destroyed before re-rendering</w:t>
      </w:r>
    </w:p>
    <w:p w14:paraId="4F012591" w14:textId="77777777" w:rsidR="00AC514A" w:rsidRPr="00AC514A" w:rsidRDefault="00AC514A" w:rsidP="00AC514A">
      <w:pPr>
        <w:numPr>
          <w:ilvl w:val="0"/>
          <w:numId w:val="34"/>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 xml:space="preserve">Score animation: Runs once on page load using </w:t>
      </w:r>
      <w:r w:rsidRPr="00AC514A">
        <w:rPr>
          <w:rFonts w:ascii="Roboto Mono" w:eastAsia="Times New Roman" w:hAnsi="Roboto Mono" w:cs="Arial"/>
          <w:b/>
          <w:bCs/>
          <w:color w:val="188038"/>
          <w:kern w:val="0"/>
          <w:sz w:val="20"/>
          <w:szCs w:val="20"/>
          <w:lang w:eastAsia="en-IN"/>
          <w14:ligatures w14:val="none"/>
        </w:rPr>
        <w:t>setInterval</w:t>
      </w:r>
      <w:r w:rsidRPr="00AC514A">
        <w:rPr>
          <w:rFonts w:ascii="Arial" w:eastAsia="Times New Roman" w:hAnsi="Arial" w:cs="Arial"/>
          <w:b/>
          <w:bCs/>
          <w:color w:val="000000"/>
          <w:kern w:val="0"/>
          <w:sz w:val="20"/>
          <w:szCs w:val="20"/>
          <w:lang w:eastAsia="en-IN"/>
          <w14:ligatures w14:val="none"/>
        </w:rPr>
        <w:t xml:space="preserve"> at 16ms, easing function applied</w:t>
      </w:r>
    </w:p>
    <w:p w14:paraId="7A0B1279" w14:textId="77777777" w:rsidR="00AC514A" w:rsidRPr="00AC514A" w:rsidRDefault="00AC514A" w:rsidP="00AC514A">
      <w:pPr>
        <w:numPr>
          <w:ilvl w:val="0"/>
          <w:numId w:val="34"/>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 xml:space="preserve">Fade-in animation: Each tab content wrapper gets </w:t>
      </w:r>
      <w:r w:rsidRPr="00AC514A">
        <w:rPr>
          <w:rFonts w:ascii="Roboto Mono" w:eastAsia="Times New Roman" w:hAnsi="Roboto Mono" w:cs="Arial"/>
          <w:b/>
          <w:bCs/>
          <w:color w:val="188038"/>
          <w:kern w:val="0"/>
          <w:sz w:val="20"/>
          <w:szCs w:val="20"/>
          <w:lang w:eastAsia="en-IN"/>
          <w14:ligatures w14:val="none"/>
        </w:rPr>
        <w:t>animation: fadeUp 0.32s ease forwards</w:t>
      </w:r>
      <w:r w:rsidRPr="00AC514A">
        <w:rPr>
          <w:rFonts w:ascii="Arial" w:eastAsia="Times New Roman" w:hAnsi="Arial" w:cs="Arial"/>
          <w:b/>
          <w:bCs/>
          <w:color w:val="000000"/>
          <w:kern w:val="0"/>
          <w:sz w:val="20"/>
          <w:szCs w:val="20"/>
          <w:lang w:eastAsia="en-IN"/>
          <w14:ligatures w14:val="none"/>
        </w:rPr>
        <w:t xml:space="preserve"> on render</w:t>
      </w:r>
    </w:p>
    <w:p w14:paraId="15D0B441" w14:textId="77777777" w:rsidR="00AC514A" w:rsidRPr="00AC514A" w:rsidRDefault="00AC514A" w:rsidP="00AC514A">
      <w:pPr>
        <w:numPr>
          <w:ilvl w:val="0"/>
          <w:numId w:val="34"/>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Hover effects: Cards lift on hover (</w:t>
      </w:r>
      <w:r w:rsidRPr="00AC514A">
        <w:rPr>
          <w:rFonts w:ascii="Roboto Mono" w:eastAsia="Times New Roman" w:hAnsi="Roboto Mono" w:cs="Arial"/>
          <w:b/>
          <w:bCs/>
          <w:color w:val="188038"/>
          <w:kern w:val="0"/>
          <w:sz w:val="20"/>
          <w:szCs w:val="20"/>
          <w:lang w:eastAsia="en-IN"/>
          <w14:ligatures w14:val="none"/>
        </w:rPr>
        <w:t>transform: translateY(-2px)</w:t>
      </w:r>
      <w:r w:rsidRPr="00AC514A">
        <w:rPr>
          <w:rFonts w:ascii="Arial" w:eastAsia="Times New Roman" w:hAnsi="Arial" w:cs="Arial"/>
          <w:b/>
          <w:bCs/>
          <w:color w:val="000000"/>
          <w:kern w:val="0"/>
          <w:sz w:val="20"/>
          <w:szCs w:val="20"/>
          <w:lang w:eastAsia="en-IN"/>
          <w14:ligatures w14:val="none"/>
        </w:rPr>
        <w:t>), border brightens</w:t>
      </w:r>
    </w:p>
    <w:p w14:paraId="029FE4AE" w14:textId="77777777" w:rsidR="00AC514A" w:rsidRPr="00AC514A" w:rsidRDefault="00AC514A" w:rsidP="00AC514A">
      <w:pPr>
        <w:numPr>
          <w:ilvl w:val="0"/>
          <w:numId w:val="34"/>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Color-coded cells: rankStyles() function — sorted array determines rank, applies green/amber/red</w:t>
      </w:r>
    </w:p>
    <w:p w14:paraId="4B148A21" w14:textId="77777777" w:rsidR="00AC514A" w:rsidRPr="00AC514A" w:rsidRDefault="00AC514A" w:rsidP="00AC514A">
      <w:pPr>
        <w:numPr>
          <w:ilvl w:val="0"/>
          <w:numId w:val="34"/>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Custom tooltip: All Chart.js charts use a styled dark tooltip (card background, DM Mono font)</w:t>
      </w:r>
    </w:p>
    <w:p w14:paraId="6E03E031" w14:textId="77777777" w:rsidR="00AC514A" w:rsidRPr="00AC514A" w:rsidRDefault="00AC514A" w:rsidP="00AC514A">
      <w:pPr>
        <w:numPr>
          <w:ilvl w:val="0"/>
          <w:numId w:val="34"/>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Scrollbar styling: 3px wide, dark surface track, border-color thumb</w:t>
      </w:r>
    </w:p>
    <w:p w14:paraId="25BC9E3B" w14:textId="77777777" w:rsidR="00AC514A" w:rsidRPr="00AC514A" w:rsidRDefault="00AC514A" w:rsidP="00AC514A">
      <w:pPr>
        <w:numPr>
          <w:ilvl w:val="0"/>
          <w:numId w:val="34"/>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Responsive: Grid columns collapse to 1 column below 768px</w:t>
      </w:r>
    </w:p>
    <w:p w14:paraId="500EFC99" w14:textId="77777777" w:rsidR="00AC514A" w:rsidRPr="00AC514A" w:rsidRDefault="00AC514A" w:rsidP="00AC514A">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AC514A">
        <w:rPr>
          <w:rFonts w:ascii="Arial" w:eastAsia="Times New Roman" w:hAnsi="Arial" w:cs="Arial"/>
          <w:b/>
          <w:bCs/>
          <w:color w:val="000000"/>
          <w:kern w:val="0"/>
          <w:sz w:val="26"/>
          <w:szCs w:val="26"/>
          <w:lang w:eastAsia="en-IN"/>
          <w14:ligatures w14:val="none"/>
        </w:rPr>
        <w:t>Code Quality Requirements</w:t>
      </w:r>
    </w:p>
    <w:p w14:paraId="69FD5824" w14:textId="77777777" w:rsidR="00AC514A" w:rsidRPr="00AC514A" w:rsidRDefault="00AC514A" w:rsidP="00AC514A">
      <w:pPr>
        <w:numPr>
          <w:ilvl w:val="0"/>
          <w:numId w:val="35"/>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Use CSS custom properties (variables) for all colors — no hardcoded hex strings in HTML</w:t>
      </w:r>
    </w:p>
    <w:p w14:paraId="372B3FC2" w14:textId="77777777" w:rsidR="00AC514A" w:rsidRPr="00AC514A" w:rsidRDefault="00AC514A" w:rsidP="00AC514A">
      <w:pPr>
        <w:numPr>
          <w:ilvl w:val="0"/>
          <w:numId w:val="35"/>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 xml:space="preserve">Separate color constants at top of </w:t>
      </w:r>
      <w:r w:rsidRPr="00AC514A">
        <w:rPr>
          <w:rFonts w:ascii="Roboto Mono" w:eastAsia="Times New Roman" w:hAnsi="Roboto Mono" w:cs="Arial"/>
          <w:b/>
          <w:bCs/>
          <w:color w:val="188038"/>
          <w:kern w:val="0"/>
          <w:sz w:val="20"/>
          <w:szCs w:val="20"/>
          <w:lang w:eastAsia="en-IN"/>
          <w14:ligatures w14:val="none"/>
        </w:rPr>
        <w:t>&lt;script&gt;</w:t>
      </w:r>
      <w:r w:rsidRPr="00AC514A">
        <w:rPr>
          <w:rFonts w:ascii="Arial" w:eastAsia="Times New Roman" w:hAnsi="Arial" w:cs="Arial"/>
          <w:b/>
          <w:bCs/>
          <w:color w:val="000000"/>
          <w:kern w:val="0"/>
          <w:sz w:val="20"/>
          <w:szCs w:val="20"/>
          <w:lang w:eastAsia="en-IN"/>
          <w14:ligatures w14:val="none"/>
        </w:rPr>
        <w:t xml:space="preserve">: </w:t>
      </w:r>
      <w:r w:rsidRPr="00AC514A">
        <w:rPr>
          <w:rFonts w:ascii="Roboto Mono" w:eastAsia="Times New Roman" w:hAnsi="Roboto Mono" w:cs="Arial"/>
          <w:b/>
          <w:bCs/>
          <w:color w:val="188038"/>
          <w:kern w:val="0"/>
          <w:sz w:val="20"/>
          <w:szCs w:val="20"/>
          <w:lang w:eastAsia="en-IN"/>
          <w14:ligatures w14:val="none"/>
        </w:rPr>
        <w:t>const T='#3B82F6', J='#F97316', I='#10B981'</w:t>
      </w:r>
      <w:r w:rsidRPr="00AC514A">
        <w:rPr>
          <w:rFonts w:ascii="Arial" w:eastAsia="Times New Roman" w:hAnsi="Arial" w:cs="Arial"/>
          <w:b/>
          <w:bCs/>
          <w:color w:val="000000"/>
          <w:kern w:val="0"/>
          <w:sz w:val="20"/>
          <w:szCs w:val="20"/>
          <w:lang w:eastAsia="en-IN"/>
          <w14:ligatures w14:val="none"/>
        </w:rPr>
        <w:t xml:space="preserve"> etc.</w:t>
      </w:r>
    </w:p>
    <w:p w14:paraId="1139D7C9" w14:textId="77777777" w:rsidR="00AC514A" w:rsidRPr="00AC514A" w:rsidRDefault="00AC514A" w:rsidP="00AC514A">
      <w:pPr>
        <w:numPr>
          <w:ilvl w:val="0"/>
          <w:numId w:val="35"/>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Roboto Mono" w:eastAsia="Times New Roman" w:hAnsi="Roboto Mono" w:cs="Arial"/>
          <w:b/>
          <w:bCs/>
          <w:color w:val="188038"/>
          <w:kern w:val="0"/>
          <w:sz w:val="20"/>
          <w:szCs w:val="20"/>
          <w:lang w:eastAsia="en-IN"/>
          <w14:ligatures w14:val="none"/>
        </w:rPr>
        <w:t>killCharts()</w:t>
      </w:r>
      <w:r w:rsidRPr="00AC514A">
        <w:rPr>
          <w:rFonts w:ascii="Arial" w:eastAsia="Times New Roman" w:hAnsi="Arial" w:cs="Arial"/>
          <w:b/>
          <w:bCs/>
          <w:color w:val="000000"/>
          <w:kern w:val="0"/>
          <w:sz w:val="20"/>
          <w:szCs w:val="20"/>
          <w:lang w:eastAsia="en-IN"/>
          <w14:ligatures w14:val="none"/>
        </w:rPr>
        <w:t xml:space="preserve"> must be called before every tab switch to prevent Chart.js canvas reuse errors</w:t>
      </w:r>
    </w:p>
    <w:p w14:paraId="7317F97B" w14:textId="77777777" w:rsidR="00AC514A" w:rsidRPr="00AC514A" w:rsidRDefault="00AC514A" w:rsidP="00AC514A">
      <w:pPr>
        <w:numPr>
          <w:ilvl w:val="0"/>
          <w:numId w:val="35"/>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All chart canvas elements are created inside tab render functions, not in static HTML</w:t>
      </w:r>
    </w:p>
    <w:p w14:paraId="79CADE1D" w14:textId="77777777" w:rsidR="00AC514A" w:rsidRPr="00AC514A" w:rsidRDefault="00AC514A" w:rsidP="00AC514A">
      <w:pPr>
        <w:numPr>
          <w:ilvl w:val="0"/>
          <w:numId w:val="35"/>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Roboto Mono" w:eastAsia="Times New Roman" w:hAnsi="Roboto Mono" w:cs="Arial"/>
          <w:b/>
          <w:bCs/>
          <w:color w:val="188038"/>
          <w:kern w:val="0"/>
          <w:sz w:val="20"/>
          <w:szCs w:val="20"/>
          <w:lang w:eastAsia="en-IN"/>
          <w14:ligatures w14:val="none"/>
        </w:rPr>
        <w:lastRenderedPageBreak/>
        <w:t>setTimeout(() =&gt; buildCharts(), 60)</w:t>
      </w:r>
      <w:r w:rsidRPr="00AC514A">
        <w:rPr>
          <w:rFonts w:ascii="Arial" w:eastAsia="Times New Roman" w:hAnsi="Arial" w:cs="Arial"/>
          <w:b/>
          <w:bCs/>
          <w:color w:val="000000"/>
          <w:kern w:val="0"/>
          <w:sz w:val="20"/>
          <w:szCs w:val="20"/>
          <w:lang w:eastAsia="en-IN"/>
          <w14:ligatures w14:val="none"/>
        </w:rPr>
        <w:t xml:space="preserve"> pattern to ensure DOM is ready before chart initialization</w:t>
      </w:r>
    </w:p>
    <w:p w14:paraId="76B7F73E" w14:textId="77777777" w:rsidR="00AC514A" w:rsidRPr="00AC514A" w:rsidRDefault="00AC514A" w:rsidP="00AC514A">
      <w:pPr>
        <w:numPr>
          <w:ilvl w:val="0"/>
          <w:numId w:val="35"/>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 xml:space="preserve">Charts check for existing instance before creating: </w:t>
      </w:r>
      <w:r w:rsidRPr="00AC514A">
        <w:rPr>
          <w:rFonts w:ascii="Roboto Mono" w:eastAsia="Times New Roman" w:hAnsi="Roboto Mono" w:cs="Arial"/>
          <w:b/>
          <w:bCs/>
          <w:color w:val="188038"/>
          <w:kern w:val="0"/>
          <w:sz w:val="20"/>
          <w:szCs w:val="20"/>
          <w:lang w:eastAsia="en-IN"/>
          <w14:ligatures w14:val="none"/>
        </w:rPr>
        <w:t>if(ctx &amp;&amp; !charts.radar) { ... }</w:t>
      </w:r>
    </w:p>
    <w:p w14:paraId="0A94F758" w14:textId="77777777" w:rsidR="00AC514A" w:rsidRPr="00AC514A" w:rsidRDefault="00AC514A" w:rsidP="00AC514A">
      <w:pPr>
        <w:spacing w:after="0" w:line="240" w:lineRule="auto"/>
        <w:rPr>
          <w:rFonts w:ascii="Times New Roman" w:eastAsia="Times New Roman" w:hAnsi="Times New Roman" w:cs="Times New Roman"/>
          <w:kern w:val="0"/>
          <w:sz w:val="24"/>
          <w:szCs w:val="24"/>
          <w:lang w:eastAsia="en-IN"/>
          <w14:ligatures w14:val="none"/>
        </w:rPr>
      </w:pPr>
      <w:r w:rsidRPr="00AC514A">
        <w:rPr>
          <w:rFonts w:ascii="Times New Roman" w:eastAsia="Times New Roman" w:hAnsi="Times New Roman" w:cs="Times New Roman"/>
          <w:kern w:val="0"/>
          <w:sz w:val="24"/>
          <w:szCs w:val="24"/>
          <w:lang w:eastAsia="en-IN"/>
          <w14:ligatures w14:val="none"/>
        </w:rPr>
        <w:pict w14:anchorId="3BA1CB33">
          <v:rect id="_x0000_i1036" style="width:0;height:1.5pt" o:hralign="center" o:hrstd="t" o:hr="t" fillcolor="#a0a0a0" stroked="f"/>
        </w:pict>
      </w:r>
    </w:p>
    <w:p w14:paraId="0FE19B27" w14:textId="77777777" w:rsidR="00AC514A" w:rsidRPr="00AC514A" w:rsidRDefault="00AC514A" w:rsidP="00AC514A">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AC514A">
        <w:rPr>
          <w:rFonts w:ascii="Arial" w:eastAsia="Times New Roman" w:hAnsi="Arial" w:cs="Arial"/>
          <w:b/>
          <w:bCs/>
          <w:color w:val="000000"/>
          <w:kern w:val="0"/>
          <w:sz w:val="34"/>
          <w:szCs w:val="34"/>
          <w:lang w:eastAsia="en-IN"/>
          <w14:ligatures w14:val="none"/>
        </w:rPr>
        <w:t>[QUALITY STANDARDS]</w:t>
      </w:r>
    </w:p>
    <w:p w14:paraId="5D09D2C6" w14:textId="77777777" w:rsidR="00AC514A" w:rsidRPr="00AC514A" w:rsidRDefault="00AC514A" w:rsidP="00AC514A">
      <w:pPr>
        <w:numPr>
          <w:ilvl w:val="0"/>
          <w:numId w:val="36"/>
        </w:numPr>
        <w:spacing w:before="240"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All data must be sourced from real web searches conducted during this session — no hallucinated numbers</w:t>
      </w:r>
    </w:p>
    <w:p w14:paraId="5CE7EB31" w14:textId="77777777" w:rsidR="00AC514A" w:rsidRPr="00AC514A" w:rsidRDefault="00AC514A" w:rsidP="00AC514A">
      <w:pPr>
        <w:numPr>
          <w:ilvl w:val="0"/>
          <w:numId w:val="36"/>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Every metric in the financial table must come from a named source (Screener.in, Trendlyne, company filing, etc.)</w:t>
      </w:r>
    </w:p>
    <w:p w14:paraId="48369AE8" w14:textId="77777777" w:rsidR="00AC514A" w:rsidRPr="00AC514A" w:rsidRDefault="00AC514A" w:rsidP="00AC514A">
      <w:pPr>
        <w:numPr>
          <w:ilvl w:val="0"/>
          <w:numId w:val="36"/>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If a metric is unavailable or not comparable (e.g., EV/EBITDA for an NBFC), note it explicitly</w:t>
      </w:r>
    </w:p>
    <w:p w14:paraId="71E18388" w14:textId="77777777" w:rsidR="00AC514A" w:rsidRPr="00AC514A" w:rsidRDefault="00AC514A" w:rsidP="00AC514A">
      <w:pPr>
        <w:numPr>
          <w:ilvl w:val="0"/>
          <w:numId w:val="36"/>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FY labels must strictly follow the Indian convention defined in [CONVENTIONS]. FY25 = Apr 2024–Mar 2025. Never mix FY labels with calendar year labels. Never use contradictory labels like "FY2024-25 (FY25)".</w:t>
      </w:r>
    </w:p>
    <w:p w14:paraId="737FDCA8" w14:textId="77777777" w:rsidR="00AC514A" w:rsidRPr="00AC514A" w:rsidRDefault="00AC514A" w:rsidP="00AC514A">
      <w:pPr>
        <w:numPr>
          <w:ilvl w:val="0"/>
          <w:numId w:val="36"/>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All financial data must use the latest available period. Before writing any number, confirm: (a) what the latest closed full-year results are, and (b) what the latest available quarter is. Use the more recent data point where both are available.</w:t>
      </w:r>
    </w:p>
    <w:p w14:paraId="0B411ABC" w14:textId="77777777" w:rsidR="00AC514A" w:rsidRPr="00AC514A" w:rsidRDefault="00AC514A" w:rsidP="00AC514A">
      <w:pPr>
        <w:numPr>
          <w:ilvl w:val="0"/>
          <w:numId w:val="36"/>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Quarterly data must be presented separately from annual data and labeled with the correct Q[n] FY[YY] notation. Do not average quarterly data into annual figures without flagging it.</w:t>
      </w:r>
    </w:p>
    <w:p w14:paraId="5BAB61F5" w14:textId="77777777" w:rsidR="00AC514A" w:rsidRPr="00AC514A" w:rsidRDefault="00AC514A" w:rsidP="00AC514A">
      <w:pPr>
        <w:numPr>
          <w:ilvl w:val="0"/>
          <w:numId w:val="36"/>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Scoring rationale should be implied by the content — do not write "Score: 4 because..." but let the data speak</w:t>
      </w:r>
    </w:p>
    <w:p w14:paraId="58D9CEAA" w14:textId="77777777" w:rsidR="00AC514A" w:rsidRPr="00AC514A" w:rsidRDefault="00AC514A" w:rsidP="00AC514A">
      <w:pPr>
        <w:numPr>
          <w:ilvl w:val="0"/>
          <w:numId w:val="36"/>
        </w:numPr>
        <w:spacing w:after="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The winner's verdict must be actionable — someone reading it should understand exactly why to prefer that stock now</w:t>
      </w:r>
    </w:p>
    <w:p w14:paraId="36DA47B8" w14:textId="77777777" w:rsidR="00AC514A" w:rsidRPr="00AC514A" w:rsidRDefault="00AC514A" w:rsidP="00AC514A">
      <w:pPr>
        <w:numPr>
          <w:ilvl w:val="0"/>
          <w:numId w:val="36"/>
        </w:numPr>
        <w:spacing w:after="240" w:line="240" w:lineRule="auto"/>
        <w:textAlignment w:val="baseline"/>
        <w:rPr>
          <w:rFonts w:ascii="Arial" w:eastAsia="Times New Roman" w:hAnsi="Arial" w:cs="Arial"/>
          <w:b/>
          <w:bCs/>
          <w:color w:val="000000"/>
          <w:kern w:val="0"/>
          <w:sz w:val="20"/>
          <w:szCs w:val="20"/>
          <w:lang w:eastAsia="en-IN"/>
          <w14:ligatures w14:val="none"/>
        </w:rPr>
      </w:pPr>
      <w:r w:rsidRPr="00AC514A">
        <w:rPr>
          <w:rFonts w:ascii="Arial" w:eastAsia="Times New Roman" w:hAnsi="Arial" w:cs="Arial"/>
          <w:b/>
          <w:bCs/>
          <w:color w:val="000000"/>
          <w:kern w:val="0"/>
          <w:sz w:val="20"/>
          <w:szCs w:val="20"/>
          <w:lang w:eastAsia="en-IN"/>
          <w14:ligatures w14:val="none"/>
        </w:rPr>
        <w:t>The HTML file must pass a basic sanity check: all 8 tabs must render, all 3 Chart.js charts must display, score counters must animate, quarterly charts render with correct quarter labels on the X-axis</w:t>
      </w:r>
    </w:p>
    <w:p w14:paraId="6EFE3043" w14:textId="77777777" w:rsidR="00AC514A" w:rsidRPr="00AC514A" w:rsidRDefault="00AC514A" w:rsidP="00AC514A">
      <w:pPr>
        <w:spacing w:after="0" w:line="240" w:lineRule="auto"/>
        <w:rPr>
          <w:rFonts w:ascii="Times New Roman" w:eastAsia="Times New Roman" w:hAnsi="Times New Roman" w:cs="Times New Roman"/>
          <w:kern w:val="0"/>
          <w:sz w:val="24"/>
          <w:szCs w:val="24"/>
          <w:lang w:eastAsia="en-IN"/>
          <w14:ligatures w14:val="none"/>
        </w:rPr>
      </w:pPr>
      <w:r w:rsidRPr="00AC514A">
        <w:rPr>
          <w:rFonts w:ascii="Times New Roman" w:eastAsia="Times New Roman" w:hAnsi="Times New Roman" w:cs="Times New Roman"/>
          <w:kern w:val="0"/>
          <w:sz w:val="24"/>
          <w:szCs w:val="24"/>
          <w:lang w:eastAsia="en-IN"/>
          <w14:ligatures w14:val="none"/>
        </w:rPr>
        <w:pict w14:anchorId="48FD3127">
          <v:rect id="_x0000_i1037" style="width:0;height:1.5pt" o:hralign="center" o:hrstd="t" o:hr="t" fillcolor="#a0a0a0" stroked="f"/>
        </w:pict>
      </w:r>
    </w:p>
    <w:p w14:paraId="288E730D" w14:textId="77777777" w:rsidR="00AC514A" w:rsidRPr="00AC514A" w:rsidRDefault="00AC514A" w:rsidP="00AC514A">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AC514A">
        <w:rPr>
          <w:rFonts w:ascii="Arial" w:eastAsia="Times New Roman" w:hAnsi="Arial" w:cs="Arial"/>
          <w:b/>
          <w:bCs/>
          <w:color w:val="000000"/>
          <w:kern w:val="0"/>
          <w:sz w:val="34"/>
          <w:szCs w:val="34"/>
          <w:lang w:eastAsia="en-IN"/>
          <w14:ligatures w14:val="none"/>
        </w:rPr>
        <w:t>[DELIVERABLE]</w:t>
      </w:r>
    </w:p>
    <w:p w14:paraId="7BE0852C"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 xml:space="preserve">Save the final file as: </w:t>
      </w:r>
      <w:r w:rsidRPr="00AC514A">
        <w:rPr>
          <w:rFonts w:ascii="Roboto Mono" w:eastAsia="Times New Roman" w:hAnsi="Roboto Mono" w:cs="Times New Roman"/>
          <w:b/>
          <w:bCs/>
          <w:color w:val="188038"/>
          <w:kern w:val="0"/>
          <w:sz w:val="20"/>
          <w:szCs w:val="20"/>
          <w:lang w:eastAsia="en-IN"/>
          <w14:ligatures w14:val="none"/>
        </w:rPr>
        <w:t>[Stock1]_vs_[Stock2]_vs_[Stock3]_Investment_Dashboard.html</w:t>
      </w:r>
    </w:p>
    <w:p w14:paraId="6F61E5D0"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 xml:space="preserve">to </w:t>
      </w:r>
      <w:r w:rsidRPr="00AC514A">
        <w:rPr>
          <w:rFonts w:ascii="Roboto Mono" w:eastAsia="Times New Roman" w:hAnsi="Roboto Mono" w:cs="Times New Roman"/>
          <w:b/>
          <w:bCs/>
          <w:color w:val="188038"/>
          <w:kern w:val="0"/>
          <w:sz w:val="20"/>
          <w:szCs w:val="20"/>
          <w:lang w:eastAsia="en-IN"/>
          <w14:ligatures w14:val="none"/>
        </w:rPr>
        <w:t>/mnt/user-data/outputs/</w:t>
      </w:r>
      <w:r w:rsidRPr="00AC514A">
        <w:rPr>
          <w:rFonts w:ascii="Arial" w:eastAsia="Times New Roman" w:hAnsi="Arial" w:cs="Arial"/>
          <w:b/>
          <w:bCs/>
          <w:color w:val="000000"/>
          <w:kern w:val="0"/>
          <w:sz w:val="20"/>
          <w:szCs w:val="20"/>
          <w:lang w:eastAsia="en-IN"/>
          <w14:ligatures w14:val="none"/>
        </w:rPr>
        <w:t xml:space="preserve"> and present the download link.</w:t>
      </w:r>
    </w:p>
    <w:p w14:paraId="19BA4E15" w14:textId="77777777" w:rsidR="00AC514A" w:rsidRPr="00AC514A" w:rsidRDefault="00AC514A" w:rsidP="00AC514A">
      <w:pPr>
        <w:spacing w:before="240" w:after="240" w:line="240" w:lineRule="auto"/>
        <w:rPr>
          <w:rFonts w:ascii="Times New Roman" w:eastAsia="Times New Roman" w:hAnsi="Times New Roman" w:cs="Times New Roman"/>
          <w:kern w:val="0"/>
          <w:sz w:val="24"/>
          <w:szCs w:val="24"/>
          <w:lang w:eastAsia="en-IN"/>
          <w14:ligatures w14:val="none"/>
        </w:rPr>
      </w:pPr>
      <w:r w:rsidRPr="00AC514A">
        <w:rPr>
          <w:rFonts w:ascii="Arial" w:eastAsia="Times New Roman" w:hAnsi="Arial" w:cs="Arial"/>
          <w:b/>
          <w:bCs/>
          <w:color w:val="000000"/>
          <w:kern w:val="0"/>
          <w:sz w:val="20"/>
          <w:szCs w:val="20"/>
          <w:lang w:eastAsia="en-IN"/>
          <w14:ligatures w14:val="none"/>
        </w:rPr>
        <w:t>The file size will typically be 30–80 KB. It requires an internet connection on first open to load Google Fonts and Chart.js from CDN. All other functionality is self-contained.</w:t>
      </w:r>
    </w:p>
    <w:p w14:paraId="42AB4D50" w14:textId="77777777" w:rsidR="002E1C93" w:rsidRDefault="002E1C93"/>
    <w:sectPr w:rsidR="002E1C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2BF"/>
    <w:multiLevelType w:val="multilevel"/>
    <w:tmpl w:val="1D74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11B99"/>
    <w:multiLevelType w:val="multilevel"/>
    <w:tmpl w:val="D886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55547"/>
    <w:multiLevelType w:val="multilevel"/>
    <w:tmpl w:val="8420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16BD5"/>
    <w:multiLevelType w:val="multilevel"/>
    <w:tmpl w:val="54E4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D499A"/>
    <w:multiLevelType w:val="multilevel"/>
    <w:tmpl w:val="B162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22A6A"/>
    <w:multiLevelType w:val="multilevel"/>
    <w:tmpl w:val="E10A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119EB"/>
    <w:multiLevelType w:val="multilevel"/>
    <w:tmpl w:val="E8BA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6393F"/>
    <w:multiLevelType w:val="multilevel"/>
    <w:tmpl w:val="BBD2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B2BAD"/>
    <w:multiLevelType w:val="multilevel"/>
    <w:tmpl w:val="9040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A2D90"/>
    <w:multiLevelType w:val="multilevel"/>
    <w:tmpl w:val="39EE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D6C0A"/>
    <w:multiLevelType w:val="multilevel"/>
    <w:tmpl w:val="FD1C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08180A"/>
    <w:multiLevelType w:val="multilevel"/>
    <w:tmpl w:val="ECCCF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04007"/>
    <w:multiLevelType w:val="multilevel"/>
    <w:tmpl w:val="F6CE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84B2E"/>
    <w:multiLevelType w:val="multilevel"/>
    <w:tmpl w:val="B674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D2281"/>
    <w:multiLevelType w:val="multilevel"/>
    <w:tmpl w:val="B956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F2CCA"/>
    <w:multiLevelType w:val="multilevel"/>
    <w:tmpl w:val="1F12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9443B"/>
    <w:multiLevelType w:val="multilevel"/>
    <w:tmpl w:val="84D4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8932FF"/>
    <w:multiLevelType w:val="multilevel"/>
    <w:tmpl w:val="3204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16059"/>
    <w:multiLevelType w:val="multilevel"/>
    <w:tmpl w:val="0136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53039F"/>
    <w:multiLevelType w:val="multilevel"/>
    <w:tmpl w:val="1B2A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9504E1"/>
    <w:multiLevelType w:val="multilevel"/>
    <w:tmpl w:val="9E7E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D48AB"/>
    <w:multiLevelType w:val="multilevel"/>
    <w:tmpl w:val="03DE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E10FCD"/>
    <w:multiLevelType w:val="multilevel"/>
    <w:tmpl w:val="A736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5D52F1"/>
    <w:multiLevelType w:val="multilevel"/>
    <w:tmpl w:val="59C2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114EF6"/>
    <w:multiLevelType w:val="multilevel"/>
    <w:tmpl w:val="E468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D20946"/>
    <w:multiLevelType w:val="multilevel"/>
    <w:tmpl w:val="038A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A1573D"/>
    <w:multiLevelType w:val="multilevel"/>
    <w:tmpl w:val="F986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C07A5E"/>
    <w:multiLevelType w:val="multilevel"/>
    <w:tmpl w:val="961A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A41941"/>
    <w:multiLevelType w:val="multilevel"/>
    <w:tmpl w:val="08EA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F50121"/>
    <w:multiLevelType w:val="multilevel"/>
    <w:tmpl w:val="F17E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7C7275"/>
    <w:multiLevelType w:val="multilevel"/>
    <w:tmpl w:val="6EE8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37551C"/>
    <w:multiLevelType w:val="multilevel"/>
    <w:tmpl w:val="B650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FC46B3"/>
    <w:multiLevelType w:val="multilevel"/>
    <w:tmpl w:val="130A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4219E2"/>
    <w:multiLevelType w:val="multilevel"/>
    <w:tmpl w:val="2C78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3C5B70"/>
    <w:multiLevelType w:val="multilevel"/>
    <w:tmpl w:val="38ACB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E83217"/>
    <w:multiLevelType w:val="multilevel"/>
    <w:tmpl w:val="BDF8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635394">
    <w:abstractNumId w:val="17"/>
  </w:num>
  <w:num w:numId="2" w16cid:durableId="775290902">
    <w:abstractNumId w:val="4"/>
  </w:num>
  <w:num w:numId="3" w16cid:durableId="1266763759">
    <w:abstractNumId w:val="2"/>
  </w:num>
  <w:num w:numId="4" w16cid:durableId="1975016950">
    <w:abstractNumId w:val="24"/>
  </w:num>
  <w:num w:numId="5" w16cid:durableId="1465778891">
    <w:abstractNumId w:val="32"/>
  </w:num>
  <w:num w:numId="6" w16cid:durableId="530610085">
    <w:abstractNumId w:val="25"/>
  </w:num>
  <w:num w:numId="7" w16cid:durableId="1987858499">
    <w:abstractNumId w:val="14"/>
  </w:num>
  <w:num w:numId="8" w16cid:durableId="621493911">
    <w:abstractNumId w:val="23"/>
  </w:num>
  <w:num w:numId="9" w16cid:durableId="833841161">
    <w:abstractNumId w:val="33"/>
  </w:num>
  <w:num w:numId="10" w16cid:durableId="1578397477">
    <w:abstractNumId w:val="35"/>
  </w:num>
  <w:num w:numId="11" w16cid:durableId="697201747">
    <w:abstractNumId w:val="13"/>
  </w:num>
  <w:num w:numId="12" w16cid:durableId="1569418276">
    <w:abstractNumId w:val="21"/>
  </w:num>
  <w:num w:numId="13" w16cid:durableId="1347054623">
    <w:abstractNumId w:val="30"/>
  </w:num>
  <w:num w:numId="14" w16cid:durableId="1122840787">
    <w:abstractNumId w:val="8"/>
  </w:num>
  <w:num w:numId="15" w16cid:durableId="1165701600">
    <w:abstractNumId w:val="20"/>
  </w:num>
  <w:num w:numId="16" w16cid:durableId="384108171">
    <w:abstractNumId w:val="3"/>
  </w:num>
  <w:num w:numId="17" w16cid:durableId="326712132">
    <w:abstractNumId w:val="10"/>
  </w:num>
  <w:num w:numId="18" w16cid:durableId="1097364109">
    <w:abstractNumId w:val="22"/>
  </w:num>
  <w:num w:numId="19" w16cid:durableId="2037654652">
    <w:abstractNumId w:val="27"/>
  </w:num>
  <w:num w:numId="20" w16cid:durableId="1693140798">
    <w:abstractNumId w:val="29"/>
  </w:num>
  <w:num w:numId="21" w16cid:durableId="200284926">
    <w:abstractNumId w:val="28"/>
  </w:num>
  <w:num w:numId="22" w16cid:durableId="1528102925">
    <w:abstractNumId w:val="12"/>
  </w:num>
  <w:num w:numId="23" w16cid:durableId="1158687062">
    <w:abstractNumId w:val="5"/>
  </w:num>
  <w:num w:numId="24" w16cid:durableId="1753695567">
    <w:abstractNumId w:val="0"/>
  </w:num>
  <w:num w:numId="25" w16cid:durableId="1880623234">
    <w:abstractNumId w:val="11"/>
  </w:num>
  <w:num w:numId="26" w16cid:durableId="779300225">
    <w:abstractNumId w:val="9"/>
  </w:num>
  <w:num w:numId="27" w16cid:durableId="1331177735">
    <w:abstractNumId w:val="31"/>
  </w:num>
  <w:num w:numId="28" w16cid:durableId="937371295">
    <w:abstractNumId w:val="7"/>
  </w:num>
  <w:num w:numId="29" w16cid:durableId="1063911808">
    <w:abstractNumId w:val="26"/>
  </w:num>
  <w:num w:numId="30" w16cid:durableId="1552376434">
    <w:abstractNumId w:val="15"/>
  </w:num>
  <w:num w:numId="31" w16cid:durableId="325322757">
    <w:abstractNumId w:val="34"/>
  </w:num>
  <w:num w:numId="32" w16cid:durableId="1377973816">
    <w:abstractNumId w:val="18"/>
  </w:num>
  <w:num w:numId="33" w16cid:durableId="1855194400">
    <w:abstractNumId w:val="16"/>
  </w:num>
  <w:num w:numId="34" w16cid:durableId="672103105">
    <w:abstractNumId w:val="19"/>
  </w:num>
  <w:num w:numId="35" w16cid:durableId="926883117">
    <w:abstractNumId w:val="6"/>
  </w:num>
  <w:num w:numId="36" w16cid:durableId="1546256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898"/>
    <w:rsid w:val="002E1C93"/>
    <w:rsid w:val="004D790E"/>
    <w:rsid w:val="00AC514A"/>
    <w:rsid w:val="00C168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E89FE5-F370-4036-BB3E-9DA750DBF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8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8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8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8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8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8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898"/>
    <w:rPr>
      <w:rFonts w:eastAsiaTheme="majorEastAsia" w:cstheme="majorBidi"/>
      <w:color w:val="272727" w:themeColor="text1" w:themeTint="D8"/>
    </w:rPr>
  </w:style>
  <w:style w:type="paragraph" w:styleId="Title">
    <w:name w:val="Title"/>
    <w:basedOn w:val="Normal"/>
    <w:next w:val="Normal"/>
    <w:link w:val="TitleChar"/>
    <w:uiPriority w:val="10"/>
    <w:qFormat/>
    <w:rsid w:val="00C16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898"/>
    <w:pPr>
      <w:spacing w:before="160"/>
      <w:jc w:val="center"/>
    </w:pPr>
    <w:rPr>
      <w:i/>
      <w:iCs/>
      <w:color w:val="404040" w:themeColor="text1" w:themeTint="BF"/>
    </w:rPr>
  </w:style>
  <w:style w:type="character" w:customStyle="1" w:styleId="QuoteChar">
    <w:name w:val="Quote Char"/>
    <w:basedOn w:val="DefaultParagraphFont"/>
    <w:link w:val="Quote"/>
    <w:uiPriority w:val="29"/>
    <w:rsid w:val="00C16898"/>
    <w:rPr>
      <w:i/>
      <w:iCs/>
      <w:color w:val="404040" w:themeColor="text1" w:themeTint="BF"/>
    </w:rPr>
  </w:style>
  <w:style w:type="paragraph" w:styleId="ListParagraph">
    <w:name w:val="List Paragraph"/>
    <w:basedOn w:val="Normal"/>
    <w:uiPriority w:val="34"/>
    <w:qFormat/>
    <w:rsid w:val="00C16898"/>
    <w:pPr>
      <w:ind w:left="720"/>
      <w:contextualSpacing/>
    </w:pPr>
  </w:style>
  <w:style w:type="character" w:styleId="IntenseEmphasis">
    <w:name w:val="Intense Emphasis"/>
    <w:basedOn w:val="DefaultParagraphFont"/>
    <w:uiPriority w:val="21"/>
    <w:qFormat/>
    <w:rsid w:val="00C16898"/>
    <w:rPr>
      <w:i/>
      <w:iCs/>
      <w:color w:val="0F4761" w:themeColor="accent1" w:themeShade="BF"/>
    </w:rPr>
  </w:style>
  <w:style w:type="paragraph" w:styleId="IntenseQuote">
    <w:name w:val="Intense Quote"/>
    <w:basedOn w:val="Normal"/>
    <w:next w:val="Normal"/>
    <w:link w:val="IntenseQuoteChar"/>
    <w:uiPriority w:val="30"/>
    <w:qFormat/>
    <w:rsid w:val="00C16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898"/>
    <w:rPr>
      <w:i/>
      <w:iCs/>
      <w:color w:val="0F4761" w:themeColor="accent1" w:themeShade="BF"/>
    </w:rPr>
  </w:style>
  <w:style w:type="character" w:styleId="IntenseReference">
    <w:name w:val="Intense Reference"/>
    <w:basedOn w:val="DefaultParagraphFont"/>
    <w:uiPriority w:val="32"/>
    <w:qFormat/>
    <w:rsid w:val="00C168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reener.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2862</Words>
  <Characters>16317</Characters>
  <Application>Microsoft Office Word</Application>
  <DocSecurity>0</DocSecurity>
  <Lines>135</Lines>
  <Paragraphs>38</Paragraphs>
  <ScaleCrop>false</ScaleCrop>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Kunjir</dc:creator>
  <cp:keywords/>
  <dc:description/>
  <cp:lastModifiedBy>Tanvi Kunjir</cp:lastModifiedBy>
  <cp:revision>2</cp:revision>
  <dcterms:created xsi:type="dcterms:W3CDTF">2026-07-05T10:21:00Z</dcterms:created>
  <dcterms:modified xsi:type="dcterms:W3CDTF">2026-07-05T10:21:00Z</dcterms:modified>
</cp:coreProperties>
</file>