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color w:val="auto"/>
        </w:rPr>
      </w:pPr>
      <w:r>
        <w:rPr>
          <w:color w:val="auto"/>
        </w:rPr>
        <w:t>SOFTWARE ARCHITECTURE DESIGN DOCUMENT</w:t>
      </w:r>
    </w:p>
    <w:p>
      <w:pPr>
        <w:pStyle w:val="Normal"/>
        <w:spacing w:lineRule="auto" w:line="230" w:before="0" w:after="36"/>
        <w:jc w:val="center"/>
        <w:rPr>
          <w:color w:val="auto"/>
        </w:rPr>
      </w:pPr>
      <w:r>
        <w:rPr>
          <w:b/>
          <w:color w:val="auto"/>
          <w:sz w:val="23"/>
        </w:rPr>
        <w:t>SAT-SA — Supervisory Analytics Tool for SOC Assessment</w:t>
      </w:r>
    </w:p>
    <w:tbl>
      <w:tblPr>
        <w:tblW w:w="1070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2664"/>
        <w:gridCol w:w="2664"/>
        <w:gridCol w:w="2664"/>
        <w:gridCol w:w="2714"/>
      </w:tblGrid>
      <w:tr>
        <w:trPr/>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Problem Statement</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3"/>
              </w:rPr>
              <w:t>SIH26157</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Organization</w:t>
            </w:r>
          </w:p>
        </w:tc>
        <w:tc>
          <w:tcPr>
            <w:tcW w:w="271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3"/>
              </w:rPr>
              <w:t>National Technical Research Organisation (NTRO)</w:t>
            </w:r>
          </w:p>
        </w:tc>
      </w:tr>
      <w:tr>
        <w:trPr/>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Theme</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3"/>
              </w:rPr>
              <w:t>Blockchain &amp; Cybersecurity</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Architecture Style</w:t>
            </w:r>
          </w:p>
        </w:tc>
        <w:tc>
          <w:tcPr>
            <w:tcW w:w="271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3"/>
              </w:rPr>
              <w:t>Offline, layered analytical pipeline</w:t>
            </w:r>
          </w:p>
        </w:tc>
      </w:tr>
      <w:tr>
        <w:trPr>
          <w:trHeight w:val="160" w:hRule="atLeast"/>
        </w:trPr>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rFonts w:ascii="Aptos" w:hAnsi="Aptos"/>
                <w:b/>
                <w:sz w:val="13"/>
              </w:rPr>
            </w:pPr>
            <w:r>
              <w:rPr>
                <w:color w:val="auto"/>
              </w:rPr>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rFonts w:ascii="Aptos" w:hAnsi="Aptos"/>
                <w:b w:val="false"/>
                <w:sz w:val="13"/>
              </w:rPr>
            </w:pPr>
            <w:r>
              <w:rPr>
                <w:color w:val="auto"/>
              </w:rPr>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rFonts w:ascii="Aptos" w:hAnsi="Aptos"/>
                <w:b/>
                <w:sz w:val="13"/>
              </w:rPr>
            </w:pPr>
            <w:r>
              <w:rPr>
                <w:color w:val="auto"/>
              </w:rPr>
            </w:r>
          </w:p>
        </w:tc>
        <w:tc>
          <w:tcPr>
            <w:tcW w:w="271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rFonts w:ascii="Aptos" w:hAnsi="Aptos"/>
                <w:b w:val="false"/>
                <w:sz w:val="13"/>
              </w:rPr>
            </w:pPr>
            <w:r>
              <w:rPr>
                <w:color w:val="auto"/>
              </w:rPr>
            </w:r>
          </w:p>
        </w:tc>
      </w:tr>
    </w:tbl>
    <w:p>
      <w:pPr>
        <w:pStyle w:val="Heading1"/>
        <w:rPr>
          <w:color w:val="auto"/>
        </w:rPr>
      </w:pPr>
      <w:r>
        <w:rPr>
          <w:color w:val="auto"/>
        </w:rPr>
        <w:t>1. Introduction</w:t>
      </w:r>
    </w:p>
    <w:p>
      <w:pPr>
        <w:pStyle w:val="Heading2"/>
        <w:rPr>
          <w:color w:val="auto"/>
        </w:rPr>
      </w:pPr>
      <w:r>
        <w:rPr>
          <w:color w:val="auto"/>
        </w:rPr>
        <w:t>1.1 Purpose</w:t>
      </w:r>
    </w:p>
    <w:p>
      <w:pPr>
        <w:pStyle w:val="Normal"/>
        <w:spacing w:lineRule="auto" w:line="230" w:before="0" w:after="36"/>
        <w:rPr>
          <w:color w:val="auto"/>
        </w:rPr>
      </w:pPr>
      <w:r>
        <w:rPr>
          <w:color w:val="auto"/>
        </w:rPr>
        <w:t>This document describes the architecture of SAT-SA using conceptual, component, process and operational views. It explains how heterogeneous SOC submissions move through profiling, canonical mapping, assurance, supervisory analytics, persistence, peer benchmarking and examiner review. The structure follows architecture-documentation practices that emphasize multiple views, diagrams, explicit system boundaries, clear communication between components and explanation of why architectural choices matter.</w:t>
      </w:r>
    </w:p>
    <w:p>
      <w:pPr>
        <w:pStyle w:val="Heading2"/>
        <w:rPr>
          <w:color w:val="auto"/>
        </w:rPr>
      </w:pPr>
      <w:r>
        <w:rPr>
          <w:color w:val="auto"/>
        </w:rPr>
        <w:t>1.2 Scope</w:t>
      </w:r>
    </w:p>
    <w:p>
      <w:pPr>
        <w:pStyle w:val="Normal"/>
        <w:spacing w:lineRule="auto" w:line="230" w:before="0" w:after="36"/>
        <w:rPr>
          <w:color w:val="auto"/>
        </w:rPr>
      </w:pPr>
      <w:r>
        <w:rPr>
          <w:color w:val="auto"/>
        </w:rPr>
        <w:t>The architecture covers the working SIH prototype: the examiner-facing web application, Python backend/API, local evidence and result processing, canonical representation, validation and integrity gates, asynchronous assessment execution, supervisory analytics, assessment scopes, peer benchmarking and report/review surfaces. The core analytical workflow has no required external cloud/API dependency.</w:t>
      </w:r>
    </w:p>
    <w:p>
      <w:pPr>
        <w:pStyle w:val="Heading2"/>
        <w:rPr>
          <w:color w:val="auto"/>
        </w:rPr>
      </w:pPr>
      <w:r>
        <w:rPr>
          <w:color w:val="auto"/>
        </w:rPr>
        <w:t>1.3 System Context</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10656"/>
      </w:tblGrid>
      <w:tr>
        <w:trPr/>
        <w:tc>
          <w:tcPr>
            <w:tcW w:w="10656"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rPr>
                <w:color w:val="auto"/>
              </w:rPr>
            </w:pPr>
            <w:r>
              <w:rPr>
                <w:b/>
                <w:color w:val="auto"/>
                <w:sz w:val="14"/>
              </w:rPr>
              <w:t xml:space="preserve">Primary user  </w:t>
            </w:r>
            <w:r>
              <w:rPr>
                <w:color w:val="auto"/>
                <w:sz w:val="14"/>
              </w:rPr>
              <w:t>NCIIPC supervisory examiner reviewing periodic SOC submissions from Critical Sector Entities.</w:t>
            </w:r>
          </w:p>
        </w:tc>
      </w:tr>
    </w:tbl>
    <w:p>
      <w:pPr>
        <w:pStyle w:val="Normal"/>
        <w:spacing w:lineRule="auto" w:line="230" w:before="0" w:after="30"/>
        <w:rPr>
          <w:color w:val="auto"/>
        </w:rPr>
      </w:pPr>
      <w:r>
        <w:rPr>
          <w:color w:val="auto"/>
        </w:rPr>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10656"/>
      </w:tblGrid>
      <w:tr>
        <w:trPr/>
        <w:tc>
          <w:tcPr>
            <w:tcW w:w="10656"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rPr>
                <w:color w:val="auto"/>
              </w:rPr>
            </w:pPr>
            <w:r>
              <w:rPr>
                <w:b/>
                <w:color w:val="auto"/>
                <w:sz w:val="14"/>
              </w:rPr>
              <w:t xml:space="preserve">Core objective  </w:t>
            </w:r>
            <w:r>
              <w:rPr>
                <w:color w:val="auto"/>
                <w:sz w:val="14"/>
              </w:rPr>
              <w:t>Convert heterogeneous operational evidence into traceable, reviewable supervisory signals without hiding uncertainty or overstating statistical comparisons.</w:t>
            </w:r>
          </w:p>
        </w:tc>
      </w:tr>
    </w:tbl>
    <w:p>
      <w:pPr>
        <w:pStyle w:val="Normal"/>
        <w:spacing w:lineRule="auto" w:line="230" w:before="0" w:after="30"/>
        <w:rPr>
          <w:color w:val="auto"/>
        </w:rPr>
      </w:pPr>
      <w:r>
        <w:rPr>
          <w:color w:val="auto"/>
        </w:rPr>
      </w:r>
    </w:p>
    <w:p>
      <w:pPr>
        <w:pStyle w:val="Heading1"/>
        <w:rPr>
          <w:color w:val="auto"/>
        </w:rPr>
      </w:pPr>
      <w:r>
        <w:rPr>
          <w:color w:val="auto"/>
        </w:rPr>
        <w:t>2. Architectural Representation</w:t>
      </w:r>
    </w:p>
    <w:p>
      <w:pPr>
        <w:pStyle w:val="Heading2"/>
        <w:rPr>
          <w:color w:val="auto"/>
        </w:rPr>
      </w:pPr>
      <w:r>
        <w:rPr>
          <w:color w:val="auto"/>
        </w:rPr>
        <w:t>2.1 Logical / Component View</w:t>
      </w:r>
    </w:p>
    <w:tbl>
      <w:tblPr>
        <w:tblW w:w="10654"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1522"/>
        <w:gridCol w:w="1521"/>
        <w:gridCol w:w="1523"/>
        <w:gridCol w:w="1521"/>
        <w:gridCol w:w="1523"/>
        <w:gridCol w:w="1521"/>
        <w:gridCol w:w="1523"/>
      </w:tblGrid>
      <w:tr>
        <w:trPr/>
        <w:tc>
          <w:tcPr>
            <w:tcW w:w="1522"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SOC Evidence</w:t>
            </w:r>
          </w:p>
        </w:tc>
        <w:tc>
          <w:tcPr>
            <w:tcW w:w="1521"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Profiling</w:t>
            </w:r>
          </w:p>
        </w:tc>
        <w:tc>
          <w:tcPr>
            <w:tcW w:w="1523"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Canonical</w:t>
            </w:r>
          </w:p>
        </w:tc>
        <w:tc>
          <w:tcPr>
            <w:tcW w:w="1521"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Assure</w:t>
            </w:r>
          </w:p>
        </w:tc>
        <w:tc>
          <w:tcPr>
            <w:tcW w:w="1523"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Analytics</w:t>
            </w:r>
          </w:p>
        </w:tc>
        <w:tc>
          <w:tcPr>
            <w:tcW w:w="1521"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Benchmark</w:t>
            </w:r>
          </w:p>
        </w:tc>
        <w:tc>
          <w:tcPr>
            <w:tcW w:w="1523" w:type="dxa"/>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jc w:val="center"/>
              <w:rPr>
                <w:color w:val="auto"/>
              </w:rPr>
            </w:pPr>
            <w:r>
              <w:rPr>
                <w:b/>
                <w:color w:val="auto"/>
                <w:sz w:val="12"/>
              </w:rPr>
              <w:t>Review / Output</w:t>
            </w:r>
          </w:p>
        </w:tc>
      </w:tr>
      <w:tr>
        <w:trPr/>
        <w:tc>
          <w:tcPr>
            <w:tcW w:w="152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Alerts • Cases • Workflow</w:t>
              <w:br/>
              <w:t>Events • Assets</w:t>
            </w:r>
          </w:p>
        </w:tc>
        <w:tc>
          <w:tcPr>
            <w:tcW w:w="1521"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Schema • Types •</w:t>
              <w:br/>
              <w:t>Missingness • Role</w:t>
            </w:r>
          </w:p>
        </w:tc>
        <w:tc>
          <w:tcPr>
            <w:tcW w:w="1523"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30 concepts •</w:t>
              <w:br/>
              <w:t>Confidence states</w:t>
            </w:r>
          </w:p>
        </w:tc>
        <w:tc>
          <w:tcPr>
            <w:tcW w:w="1521"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10 checks • SHA-256</w:t>
              <w:br/>
              <w:t>Provenance • Gate</w:t>
            </w:r>
          </w:p>
        </w:tc>
        <w:tc>
          <w:tcPr>
            <w:tcW w:w="1523"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Signals • Scopes •</w:t>
              <w:br/>
              <w:t>Anomaly path</w:t>
            </w:r>
          </w:p>
        </w:tc>
        <w:tc>
          <w:tcPr>
            <w:tcW w:w="1521"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Peer cohort • Median •</w:t>
              <w:br/>
              <w:t>MAD • Percentile • Z</w:t>
            </w:r>
          </w:p>
        </w:tc>
        <w:tc>
          <w:tcPr>
            <w:tcW w:w="1523"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jc w:val="center"/>
              <w:rPr>
                <w:color w:val="auto"/>
              </w:rPr>
            </w:pPr>
            <w:r>
              <w:rPr>
                <w:b w:val="false"/>
                <w:color w:val="auto"/>
                <w:sz w:val="11"/>
              </w:rPr>
              <w:t>Findings • Evidence</w:t>
              <w:br/>
              <w:t>Examiner • Reports</w:t>
            </w:r>
          </w:p>
        </w:tc>
      </w:tr>
    </w:tbl>
    <w:p>
      <w:pPr>
        <w:pStyle w:val="Normal"/>
        <w:spacing w:lineRule="auto" w:line="230" w:before="20" w:after="36"/>
        <w:jc w:val="center"/>
        <w:rPr>
          <w:color w:val="auto"/>
        </w:rPr>
      </w:pPr>
      <w:r>
        <w:rPr>
          <w:color w:val="auto"/>
          <w:sz w:val="16"/>
        </w:rPr>
        <w:t>→</w:t>
      </w:r>
      <w:r>
        <w:rPr>
          <w:color w:val="auto"/>
          <w:sz w:val="13"/>
        </w:rPr>
        <w:t xml:space="preserve"> </w:t>
      </w:r>
      <w:r>
        <w:rPr>
          <w:color w:val="auto"/>
          <w:sz w:val="13"/>
        </w:rPr>
        <w:t>Data flows left-to-right; review can feed examiner decisions without altering the underlying evidence.</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3552"/>
        <w:gridCol w:w="3552"/>
        <w:gridCol w:w="3552"/>
      </w:tblGrid>
      <w:tr>
        <w:trPr>
          <w:tblHeader w:val="true"/>
        </w:trPr>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Component</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Responsibility</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Architectural reason</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Dataset / Evidence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Discover and resolve submitted datasets; keep original evidence distinct from working analysis data.</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Preserves source fidelity and enables provenance.</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Application / API</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Expose dataset discovery, preview and assessment operations; coordinate the examiner workflow.</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Separates UI concerns from analytical execution.</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Profiling &amp; Role Detection</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Profile each file independently; conservatively identify ALERTS, CASES, WORKFLOW_EVENTS, ASSETS or UNKNOWN.</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Prevents unsupported schema assumptions.</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Canonical Mapping</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Map source fields to 30 canonical concepts with MAPPED, LOW_CONFIDENCE, AMBIGUOUS, UNMAPPED and INVALID states.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Makes interpretation uncertainty explicit.</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Assurance / Evidence Store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Run validation checks; verify SHA-256 manifests; retain provenance and blocking reasons.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Prevents unsafe analysis and preserves traceability.</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Supervisory Analytics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Compute five evidence-backed signal classes and assessment scopes over canonical evidence.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Turns large operational records into targeted supervisory review.</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Peer Benchmarking</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Compare seven operational metrics with robust peer statistics and baseline-limit handling.</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Adds context without forcing a misleading rank.</w:t>
            </w:r>
          </w:p>
        </w:tc>
      </w:tr>
    </w:tbl>
    <w:p>
      <w:pPr>
        <w:pStyle w:val="Heading2"/>
        <w:rPr>
          <w:color w:val="auto"/>
        </w:rPr>
      </w:pPr>
      <w:r>
        <w:rPr>
          <w:color w:val="auto"/>
        </w:rPr>
        <w:t>2.2 Process View / Runtime Data Flow</w:t>
      </w:r>
    </w:p>
    <w:p>
      <w:pPr>
        <w:pStyle w:val="Normal"/>
        <w:spacing w:lineRule="auto" w:line="230" w:before="0" w:after="24"/>
        <w:ind w:hanging="120" w:start="200"/>
        <w:rPr>
          <w:color w:val="auto"/>
        </w:rPr>
      </w:pPr>
      <w:r>
        <w:rPr>
          <w:b/>
          <w:color w:val="auto"/>
        </w:rPr>
        <w:t xml:space="preserve">• </w:t>
      </w:r>
      <w:r>
        <w:rPr>
          <w:color w:val="auto"/>
          <w:sz w:val="14"/>
        </w:rPr>
        <w:t>Dataset selection triggers independent preview/profile work; previews settle per dataset with bounded concurrency rather than waiting for one large batch.</w:t>
      </w:r>
    </w:p>
    <w:p>
      <w:pPr>
        <w:pStyle w:val="Normal"/>
        <w:spacing w:lineRule="auto" w:line="230" w:before="0" w:after="24"/>
        <w:ind w:hanging="120" w:start="200"/>
        <w:rPr>
          <w:color w:val="auto"/>
        </w:rPr>
      </w:pPr>
      <w:r>
        <w:rPr>
          <w:b/>
          <w:color w:val="auto"/>
        </w:rPr>
        <w:t xml:space="preserve">• </w:t>
      </w:r>
      <w:r>
        <w:rPr>
          <w:color w:val="auto"/>
          <w:sz w:val="14"/>
        </w:rPr>
        <w:t>Reviewer decisions resolve uncertain role/mapping states; validation errors remain blocking and are not silently weakened.</w:t>
      </w:r>
    </w:p>
    <w:p>
      <w:pPr>
        <w:pStyle w:val="Normal"/>
        <w:spacing w:lineRule="auto" w:line="230" w:before="0" w:after="24"/>
        <w:ind w:hanging="120" w:start="200"/>
        <w:rPr>
          <w:color w:val="auto"/>
        </w:rPr>
      </w:pPr>
      <w:r>
        <w:rPr>
          <w:b/>
          <w:color w:val="auto"/>
        </w:rPr>
        <w:t xml:space="preserve">• </w:t>
      </w:r>
      <w:r>
        <w:rPr>
          <w:color w:val="auto"/>
          <w:sz w:val="14"/>
        </w:rPr>
        <w:t>Run submission creates an asynchronous analysis job. The backend scans evidence locally, creates assessment scopes by entity/period, persists findings and evidence references, and publishes benchmark results.</w:t>
      </w:r>
    </w:p>
    <w:p>
      <w:pPr>
        <w:pStyle w:val="Normal"/>
        <w:spacing w:lineRule="auto" w:line="230" w:before="0" w:after="24"/>
        <w:ind w:hanging="120" w:start="200"/>
        <w:rPr>
          <w:color w:val="auto"/>
        </w:rPr>
      </w:pPr>
      <w:r>
        <w:rPr>
          <w:b/>
          <w:color w:val="auto"/>
        </w:rPr>
        <w:t xml:space="preserve">• </w:t>
      </w:r>
      <w:r>
        <w:rPr>
          <w:color w:val="auto"/>
          <w:sz w:val="14"/>
        </w:rPr>
        <w:t>Opening a scope reads the completed analytical result rather than recomputing the assessment.</w:t>
      </w:r>
    </w:p>
    <w:p>
      <w:pPr>
        <w:pStyle w:val="Heading1"/>
        <w:rPr>
          <w:color w:val="auto"/>
        </w:rPr>
      </w:pPr>
      <w:r>
        <w:rPr>
          <w:color w:val="auto"/>
        </w:rPr>
        <w:t>3. Deployment &amp; Operational Architecture</w:t>
      </w:r>
    </w:p>
    <w:p>
      <w:pPr>
        <w:pStyle w:val="Heading2"/>
        <w:rPr>
          <w:color w:val="auto"/>
        </w:rPr>
      </w:pPr>
      <w:r>
        <w:rPr>
          <w:color w:val="auto"/>
        </w:rPr>
        <w:t>3.1 Deployment View</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3552"/>
        <w:gridCol w:w="3552"/>
        <w:gridCol w:w="3552"/>
      </w:tblGrid>
      <w:tr>
        <w:trPr>
          <w:tblHeader w:val="true"/>
        </w:trPr>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Layer</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Implementation</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3"/>
              </w:rPr>
              <w:t>Execution boundary</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Examiner UI</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React / TypeScript web application</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Local browser; served by the SAT-SA frontend service</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Application/API</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Python backend with HTTP API endpoints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Local Linux process; coordinates discovery, preview and assessment execution</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Analytical pipeline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Profiling, canonical mapping, validation, integrity, supervisory analytics and peer benchmarking</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Local CPU execution over submitted evidence</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Evidence / results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Source evidence, working representation, canonical records, findings, scopes, provenance and benchmark results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Controlled local filesystem / application persistence</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ML path</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Isolation Forest anomaly detection</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2"/>
              </w:rPr>
              <w:t>Local execution; no external model/API dependency required</w:t>
            </w:r>
          </w:p>
        </w:tc>
      </w:tr>
      <w:tr>
        <w:trPr/>
        <w:tc>
          <w:tcPr>
            <w:tcW w:w="10656" w:type="dxa"/>
            <w:gridSpan w:val="3"/>
            <w:tcBorders>
              <w:top w:val="single" w:sz="4" w:space="0" w:color="D5DEE7"/>
              <w:start w:val="single" w:sz="4" w:space="0" w:color="D5DEE7"/>
              <w:bottom w:val="single" w:sz="4" w:space="0" w:color="D5DEE7"/>
              <w:end w:val="single" w:sz="4" w:space="0" w:color="D5DEE7"/>
            </w:tcBorders>
            <w:shd w:fill="F7F9FB" w:val="clear"/>
          </w:tcPr>
          <w:p>
            <w:pPr>
              <w:pStyle w:val="Normal"/>
              <w:spacing w:lineRule="auto" w:line="221" w:before="0" w:after="0"/>
              <w:rPr>
                <w:color w:val="auto"/>
              </w:rPr>
            </w:pPr>
            <w:r>
              <w:rPr>
                <w:b/>
                <w:color w:val="auto"/>
                <w:sz w:val="14"/>
              </w:rPr>
              <w:t xml:space="preserve">Deployment principle  </w:t>
            </w:r>
            <w:r>
              <w:rPr>
                <w:color w:val="auto"/>
                <w:sz w:val="14"/>
              </w:rPr>
              <w:t>SAT-SA is designed for offline / air-gapped use. Sensitive SOC evidence remains inside the deployment environment; external cloud or third-party APIs are not required by the core analytical workflow.</w:t>
            </w:r>
          </w:p>
        </w:tc>
      </w:tr>
    </w:tbl>
    <w:p>
      <w:pPr>
        <w:pStyle w:val="Normal"/>
        <w:spacing w:lineRule="auto" w:line="230" w:before="0" w:after="30"/>
        <w:rPr>
          <w:color w:val="auto"/>
        </w:rPr>
      </w:pPr>
      <w:r>
        <w:rPr>
          <w:color w:val="auto"/>
        </w:rPr>
      </w:r>
    </w:p>
    <w:p>
      <w:pPr>
        <w:pStyle w:val="Heading2"/>
        <w:rPr>
          <w:color w:val="auto"/>
        </w:rPr>
      </w:pPr>
      <w:r>
        <w:rPr>
          <w:color w:val="auto"/>
        </w:rPr>
        <w:t>3.2 State Machine &amp; Safety Gates</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2664"/>
        <w:gridCol w:w="2664"/>
        <w:gridCol w:w="2664"/>
        <w:gridCol w:w="2664"/>
      </w:tblGrid>
      <w:tr>
        <w:trPr>
          <w:tblHeader w:val="true"/>
        </w:trPr>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State</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Entry condition</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System action</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User-visible outcome</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Profiling</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Dataset selected</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Generate schema/profile independently</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Preview / mapping state</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Review required</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UNKNOWN or uncertain mapping</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Do not force classification; allow reviewer override</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Review / confidence state</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Ready</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Role resolved; no blocking validation error</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Assessment may start</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Continue to Run enabled</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Blocked</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Blocking validation or integrity error</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Prevent analysis</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Exact blocking reason shown</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Running</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Runnable assessment submitted</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Async job scans and persists results</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Run progress/status</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Complete</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Analysis job finished</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Expose scopes, findings and benchmark data</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Analysis complete</w:t>
            </w:r>
          </w:p>
        </w:tc>
      </w:tr>
    </w:tbl>
    <w:p>
      <w:pPr>
        <w:pStyle w:val="Heading1"/>
        <w:rPr>
          <w:color w:val="auto"/>
        </w:rPr>
      </w:pPr>
      <w:r>
        <w:rPr>
          <w:color w:val="auto"/>
        </w:rPr>
        <w:t>4. Supervisory Analytics &amp; Traceability</w:t>
      </w:r>
    </w:p>
    <w:p>
      <w:pPr>
        <w:pStyle w:val="Normal"/>
        <w:spacing w:lineRule="auto" w:line="230" w:before="0" w:after="20"/>
        <w:rPr>
          <w:color w:val="auto"/>
        </w:rPr>
      </w:pPr>
      <w:r>
        <w:rPr>
          <w:color w:val="auto"/>
        </w:rPr>
        <w:t>The Supervisory Analytics Engine operates on the canonical evidence layer. A finding stores its signal, analytical reason/result, relevant canonical concepts, evidence references, source-record references and provenance/integrity information. The examiner therefore follows a deterministic trace:</w:t>
      </w:r>
    </w:p>
    <w:p>
      <w:pPr>
        <w:pStyle w:val="Normal"/>
        <w:spacing w:lineRule="auto" w:line="230" w:before="0" w:after="36"/>
        <w:jc w:val="center"/>
        <w:rPr>
          <w:color w:val="auto"/>
        </w:rPr>
      </w:pPr>
      <w:r>
        <w:rPr>
          <w:b/>
          <w:color w:val="auto"/>
          <w:sz w:val="17"/>
        </w:rPr>
        <w:t>SIGNAL  →  WHY / RESULT  →  EVIDENCE  →  SOURCE RECORD</w:t>
      </w:r>
    </w:p>
    <w:p>
      <w:pPr>
        <w:pStyle w:val="Normal"/>
        <w:spacing w:lineRule="auto" w:line="230" w:before="0" w:after="24"/>
        <w:ind w:hanging="120" w:start="200"/>
        <w:rPr>
          <w:color w:val="auto"/>
        </w:rPr>
      </w:pPr>
      <w:r>
        <w:rPr>
          <w:b/>
          <w:color w:val="auto"/>
        </w:rPr>
        <w:t xml:space="preserve">• </w:t>
      </w:r>
      <w:r>
        <w:rPr>
          <w:color w:val="auto"/>
          <w:sz w:val="14"/>
        </w:rPr>
        <w:t>Implemented signal classes: critical alert not escalated; missing escalation evidence; repeated asset activity; repeated investigation evidence; offline operational anomaly (Isolation Forest).</w:t>
      </w:r>
    </w:p>
    <w:p>
      <w:pPr>
        <w:pStyle w:val="Normal"/>
        <w:spacing w:lineRule="auto" w:line="230" w:before="0" w:after="24"/>
        <w:ind w:hanging="120" w:start="200"/>
        <w:rPr>
          <w:color w:val="auto"/>
        </w:rPr>
      </w:pPr>
      <w:r>
        <w:rPr>
          <w:b/>
          <w:color w:val="auto"/>
        </w:rPr>
        <w:t xml:space="preserve">• </w:t>
      </w:r>
      <w:r>
        <w:rPr>
          <w:color w:val="auto"/>
          <w:sz w:val="14"/>
        </w:rPr>
        <w:t>Negative-space and execution-gap analyses are constrained by submitted and mapped evidence. If a relationship is not assessable, the system surfaces the limitation rather than fabricating a finding.</w:t>
      </w:r>
    </w:p>
    <w:p>
      <w:pPr>
        <w:pStyle w:val="Normal"/>
        <w:spacing w:lineRule="auto" w:line="230" w:before="0" w:after="24"/>
        <w:ind w:hanging="120" w:start="200"/>
        <w:rPr>
          <w:color w:val="auto"/>
        </w:rPr>
      </w:pPr>
      <w:r>
        <w:rPr>
          <w:b/>
          <w:color w:val="auto"/>
        </w:rPr>
        <w:t xml:space="preserve">• </w:t>
      </w:r>
      <w:r>
        <w:rPr>
          <w:color w:val="auto"/>
          <w:sz w:val="14"/>
        </w:rPr>
        <w:t>Assessment scopes expose entity, period, record context, signal count, attention, evidence coverage and peer position.</w:t>
      </w:r>
    </w:p>
    <w:p>
      <w:pPr>
        <w:pStyle w:val="Heading1"/>
        <w:rPr>
          <w:color w:val="auto"/>
        </w:rPr>
      </w:pPr>
      <w:r>
        <w:rPr>
          <w:color w:val="auto"/>
        </w:rPr>
        <w:t>5. Peer Benchmarking Architecture</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2664"/>
        <w:gridCol w:w="2664"/>
        <w:gridCol w:w="2664"/>
        <w:gridCol w:w="2664"/>
      </w:tblGrid>
      <w:tr>
        <w:trPr>
          <w:tblHeader w:val="true"/>
        </w:trPr>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Input</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Peer baseline</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Statistical view</w:t>
            </w:r>
          </w:p>
        </w:tc>
        <w:tc>
          <w:tcPr>
            <w:tcW w:w="2664"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Output</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Operational metric</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Comparable peer cohort</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Median / MAD / IQR</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Typicality / context</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Observed position</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Comparable peers</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Percentile / rank</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Relative position</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Outlier behaviour</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Robust centre</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Modified Z-score</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Statistical separation</w:t>
            </w:r>
          </w:p>
        </w:tc>
      </w:tr>
      <w:tr>
        <w:trPr/>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Weak cohort</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Insufficient / tied peers</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Baseline limitation</w:t>
            </w:r>
          </w:p>
        </w:tc>
        <w:tc>
          <w:tcPr>
            <w:tcW w:w="2664"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No forced ranking</w:t>
            </w:r>
          </w:p>
        </w:tc>
      </w:tr>
    </w:tbl>
    <w:p>
      <w:pPr>
        <w:pStyle w:val="Small"/>
        <w:spacing w:lineRule="auto" w:line="230" w:before="0" w:after="30"/>
        <w:rPr>
          <w:color w:val="auto"/>
        </w:rPr>
      </w:pPr>
      <w:r>
        <w:rPr>
          <w:color w:val="auto"/>
        </w:rPr>
        <w:t>Benchmarking is applied after assessment metrics are computed; it contextualises the result without changing the underlying finding. Small, tied, zero-spread or otherwise non-separable cohorts are explicitly identified.</w:t>
      </w:r>
    </w:p>
    <w:p>
      <w:pPr>
        <w:pStyle w:val="Heading1"/>
        <w:rPr>
          <w:color w:val="auto"/>
        </w:rPr>
      </w:pPr>
      <w:r>
        <w:rPr>
          <w:color w:val="auto"/>
        </w:rPr>
        <w:t>6. Interface &amp; Integration Specifications</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3552"/>
        <w:gridCol w:w="3552"/>
        <w:gridCol w:w="3552"/>
      </w:tblGrid>
      <w:tr>
        <w:trPr>
          <w:tblHeader w:val="true"/>
        </w:trPr>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Interface</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Purpose</w:t>
            </w:r>
          </w:p>
        </w:tc>
        <w:tc>
          <w:tcPr>
            <w:tcW w:w="3552"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Interaction</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Web UI ↔ API</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Dataset discovery, preview, assessment and review workflow</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HTTP/JSON API calls from the frontend</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Dataset discovery</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Expose the datasets available to the current runtime mode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GET /api/datasets</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Dataset preview</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Profile submitted datasets before analysis and return mapping/validation state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POST /api/previews</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Analysis execution</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Start and observe a long-running assessment</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Asynchronous job lifecycle; UI polls job status</w:t>
            </w:r>
          </w:p>
        </w:tc>
      </w:tr>
      <w:tr>
        <w:trPr/>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Internal persistence</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Move from source evidence to working/canonical data, findings, scopes and benchmark results</w:t>
            </w:r>
          </w:p>
        </w:tc>
        <w:tc>
          <w:tcPr>
            <w:tcW w:w="3552"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Local application/data layer</w:t>
            </w:r>
          </w:p>
        </w:tc>
      </w:tr>
    </w:tbl>
    <w:p>
      <w:pPr>
        <w:pStyle w:val="Heading1"/>
        <w:rPr>
          <w:color w:val="auto"/>
        </w:rPr>
      </w:pPr>
      <w:r>
        <w:rPr>
          <w:color w:val="auto"/>
        </w:rPr>
        <w:t>7. Non-Functional Requirements, Security &amp; Risk</w:t>
      </w:r>
    </w:p>
    <w:tbl>
      <w:tblPr>
        <w:tblW w:w="10656" w:type="dxa"/>
        <w:jc w:val="center"/>
        <w:tblInd w:w="0" w:type="dxa"/>
        <w:tblLayout w:type="fixed"/>
        <w:tblCellMar>
          <w:top w:w="28" w:type="dxa"/>
          <w:start w:w="45" w:type="dxa"/>
          <w:bottom w:w="28" w:type="dxa"/>
          <w:end w:w="45" w:type="dxa"/>
        </w:tblCellMar>
        <w:tblLook w:noHBand="0" w:noVBand="1" w:firstColumn="1" w:lastRow="0" w:lastColumn="0" w:firstRow="1" w:val="04a0"/>
      </w:tblPr>
      <w:tblGrid>
        <w:gridCol w:w="5328"/>
        <w:gridCol w:w="5328"/>
      </w:tblGrid>
      <w:tr>
        <w:trPr>
          <w:tblHeader w:val="true"/>
        </w:trPr>
        <w:tc>
          <w:tcPr>
            <w:tcW w:w="5328"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Requirement / risk</w:t>
            </w:r>
          </w:p>
        </w:tc>
        <w:tc>
          <w:tcPr>
            <w:tcW w:w="5328" w:type="dxa"/>
            <w:tcBorders>
              <w:top w:val="single" w:sz="4" w:space="0" w:color="D5DEE7"/>
              <w:start w:val="single" w:sz="4" w:space="0" w:color="D5DEE7"/>
              <w:bottom w:val="single" w:sz="4" w:space="0" w:color="D5DEE7"/>
              <w:end w:val="single" w:sz="4" w:space="0" w:color="D5DEE7"/>
            </w:tcBorders>
            <w:shd w:fill="EAF0F5" w:val="clear"/>
          </w:tcPr>
          <w:p>
            <w:pPr>
              <w:pStyle w:val="Normal"/>
              <w:spacing w:lineRule="auto" w:line="221" w:before="0" w:after="0"/>
              <w:rPr>
                <w:color w:val="auto"/>
              </w:rPr>
            </w:pPr>
            <w:r>
              <w:rPr>
                <w:b/>
                <w:color w:val="auto"/>
                <w:sz w:val="12"/>
              </w:rPr>
              <w:t>Architectural response</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Evidence confidentiality</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Local/air-gapped execution; no required external API dependency for core analysis.</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Integrity risk</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SHA-256 manifests, provenance records and an integrity gate before unsafe analysis.</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Data-quality risk</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10 validation checks; blocking errors prevent analysis rather than producing questionable results.</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Schema ambiguity</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Conservative role detection and explicit mapping-confidence states; examiner override remains available.</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Statistical overclaim</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Peer benchmarking reports tied/zero-spread/insufficient cohorts as non-separable.</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Large submissions</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Local scan path; measured synthetic 5M-record workload completed in ~90 s at ~1.57 GB peak RSS.</w:t>
            </w:r>
          </w:p>
        </w:tc>
      </w:tr>
      <w:tr>
        <w:trPr/>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Long-running analysis</w:t>
            </w:r>
          </w:p>
        </w:tc>
        <w:tc>
          <w:tcPr>
            <w:tcW w:w="5328" w:type="dxa"/>
            <w:tcBorders>
              <w:top w:val="single" w:sz="4" w:space="0" w:color="D5DEE7"/>
              <w:start w:val="single" w:sz="4" w:space="0" w:color="D5DEE7"/>
              <w:bottom w:val="single" w:sz="4" w:space="0" w:color="D5DEE7"/>
              <w:end w:val="single" w:sz="4" w:space="0" w:color="D5DEE7"/>
            </w:tcBorders>
          </w:tcPr>
          <w:p>
            <w:pPr>
              <w:pStyle w:val="Normal"/>
              <w:spacing w:lineRule="auto" w:line="221" w:before="0" w:after="0"/>
              <w:rPr>
                <w:color w:val="auto"/>
              </w:rPr>
            </w:pPr>
            <w:r>
              <w:rPr>
                <w:b w:val="false"/>
                <w:color w:val="auto"/>
                <w:sz w:val="11"/>
              </w:rPr>
              <w:t>Asynchronous job model and frontend polling prevent the browser from blocking on full analytical execution.</w:t>
            </w:r>
          </w:p>
        </w:tc>
      </w:tr>
    </w:tbl>
    <w:p>
      <w:pPr>
        <w:pStyle w:val="Heading1"/>
        <w:rPr>
          <w:color w:val="auto"/>
        </w:rPr>
      </w:pPr>
      <w:r>
        <w:rPr>
          <w:color w:val="auto"/>
        </w:rPr>
        <w:t>8. Verification &amp; Engineering Evidence</w:t>
      </w:r>
    </w:p>
    <w:p>
      <w:pPr>
        <w:pStyle w:val="Normal"/>
        <w:spacing w:lineRule="auto" w:line="230" w:before="0" w:after="20"/>
        <w:rPr>
          <w:color w:val="auto"/>
        </w:rPr>
      </w:pPr>
      <w:r>
        <w:rPr>
          <w:color w:val="auto"/>
        </w:rPr>
        <w:t>The implementation is verified through automated and end-to-end checks covering analytical logic and the examiner workflow.</w:t>
      </w:r>
    </w:p>
    <w:p>
      <w:pPr>
        <w:pStyle w:val="Normal"/>
        <w:spacing w:lineRule="auto" w:line="230" w:before="0" w:after="24"/>
        <w:ind w:hanging="120" w:start="200"/>
        <w:rPr>
          <w:color w:val="auto"/>
        </w:rPr>
      </w:pPr>
      <w:r>
        <w:rPr>
          <w:b/>
          <w:color w:val="auto"/>
        </w:rPr>
        <w:t xml:space="preserve">• </w:t>
      </w:r>
      <w:r>
        <w:rPr>
          <w:color w:val="auto"/>
          <w:sz w:val="13"/>
        </w:rPr>
        <w:t>1,000+ automated tests; frontend typecheck, lint and production build checks.</w:t>
      </w:r>
    </w:p>
    <w:p>
      <w:pPr>
        <w:pStyle w:val="Normal"/>
        <w:spacing w:lineRule="auto" w:line="230" w:before="0" w:after="24"/>
        <w:ind w:hanging="120" w:start="200"/>
        <w:rPr>
          <w:color w:val="auto"/>
        </w:rPr>
      </w:pPr>
      <w:r>
        <w:rPr>
          <w:b/>
          <w:color w:val="auto"/>
        </w:rPr>
        <w:t xml:space="preserve">• </w:t>
      </w:r>
      <w:r>
        <w:rPr>
          <w:color w:val="auto"/>
          <w:sz w:val="13"/>
        </w:rPr>
        <w:t>End-to-end checks cover dataset discovery, role gating, switching behaviour, evidence workflow and evaluator-facing demo dataset discovery.</w:t>
      </w:r>
    </w:p>
    <w:p>
      <w:pPr>
        <w:pStyle w:val="Normal"/>
        <w:spacing w:lineRule="auto" w:line="230" w:before="0" w:after="24"/>
        <w:ind w:hanging="120" w:start="200"/>
        <w:rPr>
          <w:color w:val="auto"/>
        </w:rPr>
      </w:pPr>
      <w:r>
        <w:rPr>
          <w:b/>
          <w:color w:val="auto"/>
        </w:rPr>
        <w:t xml:space="preserve">• </w:t>
      </w:r>
      <w:r>
        <w:rPr>
          <w:color w:val="auto"/>
          <w:sz w:val="13"/>
        </w:rPr>
        <w:t>Measured Linux deployment bundle: approximately 242 MB.</w:t>
      </w:r>
    </w:p>
    <w:p>
      <w:pPr>
        <w:pStyle w:val="Normal"/>
        <w:spacing w:lineRule="auto" w:line="230" w:before="0" w:after="24"/>
        <w:ind w:hanging="120" w:start="200"/>
        <w:rPr>
          <w:color w:val="auto"/>
        </w:rPr>
      </w:pPr>
      <w:r>
        <w:rPr>
          <w:b/>
          <w:color w:val="auto"/>
        </w:rPr>
        <w:t xml:space="preserve">• </w:t>
      </w:r>
      <w:r>
        <w:rPr>
          <w:color w:val="auto"/>
          <w:sz w:val="13"/>
        </w:rPr>
        <w:t>Large-data engineering measurement: approximately 5 million synthetic records, ~90 seconds runtime, ~1.57 GB peak RSS.</w:t>
      </w:r>
    </w:p>
    <w:p>
      <w:pPr>
        <w:pStyle w:val="Normal"/>
        <w:spacing w:lineRule="auto" w:line="230" w:before="0" w:after="24"/>
        <w:ind w:hanging="120" w:start="200"/>
        <w:rPr>
          <w:color w:val="auto"/>
        </w:rPr>
      </w:pPr>
      <w:r>
        <w:rPr>
          <w:b/>
          <w:color w:val="auto"/>
        </w:rPr>
        <w:t xml:space="preserve">• </w:t>
      </w:r>
      <w:r>
        <w:rPr>
          <w:color w:val="auto"/>
          <w:sz w:val="13"/>
        </w:rPr>
        <w:t>Demo mode exposes only verified working datasets through the discovery endpoint; full development/test fixtures remain outside the evaluator-facing dataset picker.</w:t>
      </w:r>
    </w:p>
    <w:p>
      <w:pPr>
        <w:pStyle w:val="Heading1"/>
        <w:rPr>
          <w:color w:val="auto"/>
        </w:rPr>
      </w:pPr>
      <w:r>
        <w:rPr>
          <w:color w:val="auto"/>
        </w:rPr>
        <w:t>9. Architectural Decisions &amp; References</w:t>
      </w:r>
    </w:p>
    <w:p>
      <w:pPr>
        <w:pStyle w:val="Normal"/>
        <w:spacing w:lineRule="auto" w:line="230" w:before="0" w:after="20"/>
        <w:rPr>
          <w:color w:val="auto"/>
        </w:rPr>
      </w:pPr>
      <w:r>
        <w:rPr>
          <w:b/>
          <w:color w:val="auto"/>
        </w:rPr>
        <w:t xml:space="preserve">Key decisions: </w:t>
      </w:r>
      <w:r>
        <w:rPr>
          <w:color w:val="auto"/>
        </w:rPr>
        <w:t>layered local pipeline; conservative classification; explicit uncertainty; pre-analysis assurance gates; traceable findings; post-analysis peer benchmarking; asynchronous execution for long-running jobs.</w:t>
      </w:r>
    </w:p>
    <w:p>
      <w:pPr>
        <w:pStyle w:val="Small"/>
        <w:spacing w:lineRule="auto" w:line="230" w:before="0" w:after="30"/>
        <w:rPr>
          <w:color w:val="auto"/>
        </w:rPr>
      </w:pPr>
      <w:r>
        <w:rPr>
          <w:color w:val="auto"/>
        </w:rPr>
        <w:t>Architecture documentation reference: freeCodeCamp, “System Architecture Documentation Best Practices and Tools” (12 Nov 2025) — multiple views, clear diagrams, explicit boundaries, outcome-oriented explanations and consistent terminology.</w:t>
      </w:r>
    </w:p>
    <w:p>
      <w:pPr>
        <w:pStyle w:val="Small"/>
        <w:spacing w:lineRule="auto" w:line="230" w:before="0" w:after="30"/>
        <w:rPr>
          <w:color w:val="auto"/>
        </w:rPr>
      </w:pPr>
      <w:r>
        <w:rPr>
          <w:color w:val="auto"/>
        </w:rPr>
        <w:t>Standards/context: IEEE Std 830-1998; ISO/IEC/IEEE 42010:2011. This document describes the implemented SAT-SA prototype and does not claim formal standards compliance.</w:t>
      </w:r>
    </w:p>
    <w:sectPr>
      <w:footerReference w:type="even" r:id="rId2"/>
      <w:footerReference w:type="default" r:id="rId3"/>
      <w:footerReference w:type="first" r:id="rId4"/>
      <w:type w:val="nextPage"/>
      <w:pgSz w:w="12240" w:h="15840"/>
      <w:pgMar w:left="691" w:right="691" w:gutter="0" w:header="0" w:top="547" w:footer="288" w:bottom="5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0"/>
        <w:sz w:val="13"/>
      </w:rPr>
      <w:t>SAT-SA | Software Architecture Design Document | SIH26157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0"/>
        <w:sz w:val="13"/>
      </w:rPr>
      <w:t>SAT-SA | Software Architecture Design Document | SIH26157</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30" w:before="0" w:after="36"/>
      <w:jc w:val="start"/>
    </w:pPr>
    <w:rPr>
      <w:rFonts w:ascii="Aptos" w:hAnsi="Aptos" w:eastAsia="ＭＳ 明朝" w:cs=""/>
      <w:color w:val="1F2933"/>
      <w:kern w:val="0"/>
      <w:sz w:val="1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60" w:after="24"/>
      <w:outlineLvl w:val="0"/>
    </w:pPr>
    <w:rPr>
      <w:rFonts w:ascii="Calibri" w:hAnsi="Calibri" w:eastAsia="ＭＳ ゴシック" w:cs="" w:asciiTheme="majorHAnsi" w:cstheme="majorBidi" w:eastAsiaTheme="majorEastAsia" w:hAnsiTheme="majorHAnsi"/>
      <w:b/>
      <w:bCs/>
      <w:color w:val="18324A"/>
      <w:sz w:val="21"/>
      <w:szCs w:val="28"/>
    </w:rPr>
  </w:style>
  <w:style w:type="paragraph" w:styleId="Heading2">
    <w:name w:val="heading 2"/>
    <w:basedOn w:val="Normal"/>
    <w:next w:val="Normal"/>
    <w:link w:val="Heading2Char"/>
    <w:uiPriority w:val="9"/>
    <w:unhideWhenUsed/>
    <w:qFormat/>
    <w:rsid w:val="00fc693f"/>
    <w:pPr>
      <w:keepNext w:val="true"/>
      <w:keepLines/>
      <w:spacing w:before="44" w:after="20"/>
      <w:outlineLvl w:val="1"/>
    </w:pPr>
    <w:rPr>
      <w:rFonts w:ascii="Calibri" w:hAnsi="Calibri" w:eastAsia="ＭＳ ゴシック" w:cs="" w:asciiTheme="majorHAnsi" w:cstheme="majorBidi" w:eastAsiaTheme="majorEastAsia" w:hAnsiTheme="majorHAnsi"/>
      <w:b/>
      <w:bCs/>
      <w:color w:val="2B5C88"/>
      <w:sz w:val="17"/>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36"/>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60"/>
      <w:contextualSpacing/>
    </w:pPr>
    <w:rPr>
      <w:rFonts w:ascii="Calibri" w:hAnsi="Calibri" w:eastAsia="ＭＳ ゴシック" w:cs="" w:asciiTheme="majorHAnsi" w:cstheme="majorBidi" w:eastAsiaTheme="majorEastAsia" w:hAnsiTheme="majorHAnsi"/>
      <w:b/>
      <w:color w:val="18324A"/>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36"/>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36"/>
      <w:ind w:hanging="360" w:start="720"/>
      <w:contextualSpacing/>
    </w:pPr>
    <w:rPr/>
  </w:style>
  <w:style w:type="paragraph" w:styleId="List3">
    <w:name w:val="List 3"/>
    <w:basedOn w:val="Normal"/>
    <w:uiPriority w:val="99"/>
    <w:unhideWhenUsed/>
    <w:qFormat/>
    <w:rsid w:val="00326f90"/>
    <w:pPr>
      <w:spacing w:before="0" w:after="36"/>
      <w:ind w:hanging="360" w:start="1080"/>
      <w:contextualSpacing/>
    </w:pPr>
    <w:rPr/>
  </w:style>
  <w:style w:type="paragraph" w:styleId="ListBullet">
    <w:name w:val="List Bullet"/>
    <w:basedOn w:val="Normal"/>
    <w:uiPriority w:val="99"/>
    <w:unhideWhenUsed/>
    <w:rsid w:val="00326f90"/>
    <w:pPr>
      <w:numPr>
        <w:ilvl w:val="0"/>
        <w:numId w:val="1"/>
      </w:numPr>
      <w:spacing w:before="0" w:after="36"/>
      <w:contextualSpacing/>
    </w:pPr>
    <w:rPr/>
  </w:style>
  <w:style w:type="paragraph" w:styleId="ListBullet2">
    <w:name w:val="List Bullet 2"/>
    <w:basedOn w:val="Normal"/>
    <w:uiPriority w:val="99"/>
    <w:unhideWhenUsed/>
    <w:rsid w:val="00326f90"/>
    <w:pPr>
      <w:numPr>
        <w:ilvl w:val="0"/>
        <w:numId w:val="2"/>
      </w:numPr>
      <w:spacing w:before="0" w:after="36"/>
      <w:contextualSpacing/>
    </w:pPr>
    <w:rPr/>
  </w:style>
  <w:style w:type="paragraph" w:styleId="ListBullet3">
    <w:name w:val="List Bullet 3"/>
    <w:basedOn w:val="Normal"/>
    <w:uiPriority w:val="99"/>
    <w:unhideWhenUsed/>
    <w:rsid w:val="00326f90"/>
    <w:pPr>
      <w:numPr>
        <w:ilvl w:val="0"/>
        <w:numId w:val="3"/>
      </w:numPr>
      <w:spacing w:before="0" w:after="36"/>
      <w:contextualSpacing/>
    </w:pPr>
    <w:rPr/>
  </w:style>
  <w:style w:type="paragraph" w:styleId="ListNumber">
    <w:name w:val="List Number"/>
    <w:basedOn w:val="Normal"/>
    <w:uiPriority w:val="99"/>
    <w:unhideWhenUsed/>
    <w:rsid w:val="00326f90"/>
    <w:pPr>
      <w:numPr>
        <w:ilvl w:val="0"/>
        <w:numId w:val="4"/>
      </w:numPr>
      <w:spacing w:before="0" w:after="36"/>
      <w:contextualSpacing/>
    </w:pPr>
    <w:rPr/>
  </w:style>
  <w:style w:type="paragraph" w:styleId="ListNumber2">
    <w:name w:val="List Number 2"/>
    <w:basedOn w:val="Normal"/>
    <w:uiPriority w:val="99"/>
    <w:unhideWhenUsed/>
    <w:rsid w:val="0029639d"/>
    <w:pPr>
      <w:numPr>
        <w:ilvl w:val="0"/>
        <w:numId w:val="5"/>
      </w:numPr>
      <w:spacing w:before="0" w:after="36"/>
      <w:contextualSpacing/>
    </w:pPr>
    <w:rPr/>
  </w:style>
  <w:style w:type="paragraph" w:styleId="ListNumber3">
    <w:name w:val="List Number 3"/>
    <w:basedOn w:val="Normal"/>
    <w:uiPriority w:val="99"/>
    <w:unhideWhenUsed/>
    <w:rsid w:val="0029639d"/>
    <w:pPr>
      <w:numPr>
        <w:ilvl w:val="0"/>
        <w:numId w:val="6"/>
      </w:numPr>
      <w:spacing w:before="0" w:after="36"/>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bidi w:val="0"/>
      <w:spacing w:lineRule="auto" w:line="240" w:before="0" w:after="20"/>
      <w:jc w:val="start"/>
    </w:pPr>
    <w:rPr>
      <w:rFonts w:ascii="Aptos" w:hAnsi="Aptos" w:eastAsia="ＭＳ 明朝" w:cs=""/>
      <w:color w:val="5B6570"/>
      <w:kern w:val="0"/>
      <w:sz w:val="13"/>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LibreOffice_project/cd7284b4cbbfeb507e630c1aac019f4157393acb</Application>
  <AppVersion>15.0000</AppVersion>
  <Pages>2</Pages>
  <Words>1262</Words>
  <Characters>8776</Characters>
  <CharactersWithSpaces>9859</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2026-10-05T19:09:03Z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