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41678" w14:textId="723F9BCD" w:rsidR="004E27C3" w:rsidRDefault="00550AED" w:rsidP="00D93A87">
      <w:pPr>
        <w:pStyle w:val="Heading1"/>
        <w:jc w:val="center"/>
      </w:pPr>
      <w:bookmarkStart w:id="0" w:name="_GoBack"/>
      <w:bookmarkEnd w:id="0"/>
      <w:r>
        <w:t>Capstone 1 Project Proposal</w:t>
      </w:r>
    </w:p>
    <w:p w14:paraId="4117506B" w14:textId="77777777" w:rsidR="00566FAC" w:rsidRDefault="00566FAC" w:rsidP="00566FAC">
      <w:pPr>
        <w:pStyle w:val="Heading2"/>
        <w:spacing w:line="276" w:lineRule="auto"/>
        <w:jc w:val="both"/>
        <w:rPr>
          <w:b/>
          <w:bCs/>
        </w:rPr>
      </w:pPr>
    </w:p>
    <w:p w14:paraId="11F9A868" w14:textId="5400E328" w:rsidR="00550AED" w:rsidRPr="00566FAC" w:rsidRDefault="00364D90" w:rsidP="00566FAC">
      <w:pPr>
        <w:pStyle w:val="Heading2"/>
        <w:spacing w:line="276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566FAC">
        <w:rPr>
          <w:rFonts w:asciiTheme="minorHAnsi" w:hAnsiTheme="minorHAnsi" w:cstheme="minorHAnsi"/>
          <w:b/>
          <w:bCs/>
          <w:sz w:val="24"/>
          <w:szCs w:val="24"/>
        </w:rPr>
        <w:t>Background</w:t>
      </w:r>
    </w:p>
    <w:p w14:paraId="35B2E733" w14:textId="2D2AB6C2" w:rsidR="006D2836" w:rsidRPr="00566FAC" w:rsidRDefault="006D2836" w:rsidP="00D93A87">
      <w:pPr>
        <w:jc w:val="both"/>
        <w:rPr>
          <w:rFonts w:cstheme="minorHAnsi"/>
        </w:rPr>
      </w:pPr>
      <w:r w:rsidRPr="00566FAC">
        <w:rPr>
          <w:rFonts w:cstheme="minorHAnsi"/>
        </w:rPr>
        <w:t>Call Detail Record [</w:t>
      </w:r>
      <w:r w:rsidR="002B34CB" w:rsidRPr="00566FAC">
        <w:rPr>
          <w:rFonts w:cstheme="minorHAnsi"/>
        </w:rPr>
        <w:t>CDR</w:t>
      </w:r>
      <w:r w:rsidRPr="00566FAC">
        <w:rPr>
          <w:rFonts w:cstheme="minorHAnsi"/>
        </w:rPr>
        <w:t>]</w:t>
      </w:r>
      <w:r w:rsidR="002B34CB" w:rsidRPr="00566FAC">
        <w:rPr>
          <w:rFonts w:cstheme="minorHAnsi"/>
        </w:rPr>
        <w:t xml:space="preserve"> describes a specific instance of </w:t>
      </w:r>
      <w:r w:rsidRPr="00566FAC">
        <w:rPr>
          <w:rFonts w:cstheme="minorHAnsi"/>
        </w:rPr>
        <w:t xml:space="preserve">a </w:t>
      </w:r>
      <w:r w:rsidR="002B34CB" w:rsidRPr="00566FAC">
        <w:rPr>
          <w:rFonts w:cstheme="minorHAnsi"/>
        </w:rPr>
        <w:t>telecommunication transaction</w:t>
      </w:r>
      <w:r w:rsidR="00711471" w:rsidRPr="00566FAC">
        <w:rPr>
          <w:rFonts w:cstheme="minorHAnsi"/>
        </w:rPr>
        <w:t xml:space="preserve"> that </w:t>
      </w:r>
      <w:r w:rsidR="00C21AE6" w:rsidRPr="00566FAC">
        <w:rPr>
          <w:rFonts w:cstheme="minorHAnsi"/>
        </w:rPr>
        <w:t>passes through a network element</w:t>
      </w:r>
      <w:r w:rsidR="00112196" w:rsidRPr="00566FAC">
        <w:rPr>
          <w:rFonts w:cstheme="minorHAnsi"/>
        </w:rPr>
        <w:t xml:space="preserve">. Every time a user performs a telecom activity </w:t>
      </w:r>
      <w:r w:rsidRPr="00566FAC">
        <w:rPr>
          <w:rFonts w:cstheme="minorHAnsi"/>
        </w:rPr>
        <w:t>such as</w:t>
      </w:r>
      <w:r w:rsidR="00112196" w:rsidRPr="00566FAC">
        <w:rPr>
          <w:rFonts w:cstheme="minorHAnsi"/>
        </w:rPr>
        <w:t xml:space="preserve"> send/receiv</w:t>
      </w:r>
      <w:r w:rsidRPr="00566FAC">
        <w:rPr>
          <w:rFonts w:cstheme="minorHAnsi"/>
        </w:rPr>
        <w:t>e</w:t>
      </w:r>
      <w:r w:rsidR="00112196" w:rsidRPr="00566FAC">
        <w:rPr>
          <w:rFonts w:cstheme="minorHAnsi"/>
        </w:rPr>
        <w:t xml:space="preserve"> SMS and calls</w:t>
      </w:r>
      <w:r w:rsidR="00364D90" w:rsidRPr="00566FAC">
        <w:rPr>
          <w:rFonts w:cstheme="minorHAnsi"/>
        </w:rPr>
        <w:t>,</w:t>
      </w:r>
      <w:r w:rsidR="00112196" w:rsidRPr="00566FAC">
        <w:rPr>
          <w:rFonts w:cstheme="minorHAnsi"/>
        </w:rPr>
        <w:t xml:space="preserve"> a CDR is generated</w:t>
      </w:r>
      <w:r w:rsidRPr="00566FAC">
        <w:rPr>
          <w:rFonts w:cstheme="minorHAnsi"/>
        </w:rPr>
        <w:t>.</w:t>
      </w:r>
      <w:r w:rsidR="00112196" w:rsidRPr="00566FAC">
        <w:rPr>
          <w:rFonts w:cstheme="minorHAnsi"/>
        </w:rPr>
        <w:t xml:space="preserve"> </w:t>
      </w:r>
      <w:r w:rsidRPr="00566FAC">
        <w:rPr>
          <w:rFonts w:cstheme="minorHAnsi"/>
        </w:rPr>
        <w:t xml:space="preserve">It </w:t>
      </w:r>
      <w:r w:rsidR="00112196" w:rsidRPr="00566FAC">
        <w:rPr>
          <w:rFonts w:cstheme="minorHAnsi"/>
        </w:rPr>
        <w:t xml:space="preserve">contains information </w:t>
      </w:r>
      <w:r w:rsidRPr="00566FAC">
        <w:rPr>
          <w:rFonts w:cstheme="minorHAnsi"/>
        </w:rPr>
        <w:t>about</w:t>
      </w:r>
      <w:r w:rsidR="00C21AE6" w:rsidRPr="00566FAC">
        <w:rPr>
          <w:rFonts w:cstheme="minorHAnsi"/>
        </w:rPr>
        <w:t xml:space="preserve"> </w:t>
      </w:r>
      <w:r w:rsidR="00112196" w:rsidRPr="00566FAC">
        <w:rPr>
          <w:rFonts w:cstheme="minorHAnsi"/>
        </w:rPr>
        <w:t xml:space="preserve">the </w:t>
      </w:r>
      <w:r w:rsidR="00C21AE6" w:rsidRPr="00566FAC">
        <w:rPr>
          <w:rFonts w:cstheme="minorHAnsi"/>
        </w:rPr>
        <w:t xml:space="preserve">caller/sender ID, </w:t>
      </w:r>
      <w:r w:rsidR="00112196" w:rsidRPr="00566FAC">
        <w:rPr>
          <w:rFonts w:cstheme="minorHAnsi"/>
        </w:rPr>
        <w:t>location, time, data used</w:t>
      </w:r>
      <w:r w:rsidR="00C21AE6" w:rsidRPr="00566FAC">
        <w:rPr>
          <w:rFonts w:cstheme="minorHAnsi"/>
        </w:rPr>
        <w:t xml:space="preserve">, etc. </w:t>
      </w:r>
      <w:r w:rsidRPr="00566FAC">
        <w:rPr>
          <w:rFonts w:cstheme="minorHAnsi"/>
        </w:rPr>
        <w:t>Millions and millions of such records are generated</w:t>
      </w:r>
      <w:r w:rsidR="00AC1390" w:rsidRPr="00566FAC">
        <w:rPr>
          <w:rFonts w:cstheme="minorHAnsi"/>
        </w:rPr>
        <w:t xml:space="preserve"> and </w:t>
      </w:r>
      <w:r w:rsidR="00AD6A08" w:rsidRPr="00566FAC">
        <w:rPr>
          <w:rFonts w:cstheme="minorHAnsi"/>
        </w:rPr>
        <w:t xml:space="preserve">is </w:t>
      </w:r>
      <w:r w:rsidR="00AC1390" w:rsidRPr="00566FAC">
        <w:rPr>
          <w:rFonts w:cstheme="minorHAnsi"/>
        </w:rPr>
        <w:t>mainly used</w:t>
      </w:r>
      <w:r w:rsidRPr="00566FAC">
        <w:rPr>
          <w:rFonts w:cstheme="minorHAnsi"/>
        </w:rPr>
        <w:t xml:space="preserve"> for billing purposes by the telecom company. </w:t>
      </w:r>
    </w:p>
    <w:p w14:paraId="14627FE4" w14:textId="77777777" w:rsidR="006D2836" w:rsidRPr="00566FAC" w:rsidRDefault="006D2836" w:rsidP="00566FAC">
      <w:pPr>
        <w:spacing w:line="276" w:lineRule="auto"/>
        <w:jc w:val="both"/>
        <w:rPr>
          <w:rFonts w:cstheme="minorHAnsi"/>
        </w:rPr>
      </w:pPr>
    </w:p>
    <w:p w14:paraId="6B960EB6" w14:textId="77200753" w:rsidR="006D2836" w:rsidRPr="00566FAC" w:rsidRDefault="009D2B75" w:rsidP="00566FAC">
      <w:pPr>
        <w:pStyle w:val="Heading2"/>
        <w:spacing w:line="276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566FAC">
        <w:rPr>
          <w:rFonts w:asciiTheme="minorHAnsi" w:hAnsiTheme="minorHAnsi" w:cstheme="minorHAnsi"/>
          <w:b/>
          <w:bCs/>
          <w:sz w:val="24"/>
          <w:szCs w:val="24"/>
        </w:rPr>
        <w:t>Client</w:t>
      </w:r>
    </w:p>
    <w:p w14:paraId="537FE780" w14:textId="17F8E76E" w:rsidR="00550AED" w:rsidRPr="00566FAC" w:rsidRDefault="006D2836" w:rsidP="00D93A87">
      <w:pPr>
        <w:jc w:val="both"/>
        <w:rPr>
          <w:rFonts w:cstheme="minorHAnsi"/>
        </w:rPr>
      </w:pPr>
      <w:r w:rsidRPr="00566FAC">
        <w:rPr>
          <w:rFonts w:cstheme="minorHAnsi"/>
        </w:rPr>
        <w:t>Analy</w:t>
      </w:r>
      <w:r w:rsidR="00DE055D" w:rsidRPr="00566FAC">
        <w:rPr>
          <w:rFonts w:cstheme="minorHAnsi"/>
        </w:rPr>
        <w:t xml:space="preserve">sis </w:t>
      </w:r>
      <w:r w:rsidR="009B713D" w:rsidRPr="00566FAC">
        <w:rPr>
          <w:rFonts w:cstheme="minorHAnsi"/>
        </w:rPr>
        <w:t xml:space="preserve">and modeling </w:t>
      </w:r>
      <w:r w:rsidR="00DE055D" w:rsidRPr="00566FAC">
        <w:rPr>
          <w:rFonts w:cstheme="minorHAnsi"/>
        </w:rPr>
        <w:t>of</w:t>
      </w:r>
      <w:r w:rsidR="002B34CB" w:rsidRPr="00566FAC">
        <w:rPr>
          <w:rFonts w:cstheme="minorHAnsi"/>
        </w:rPr>
        <w:t xml:space="preserve"> </w:t>
      </w:r>
      <w:r w:rsidRPr="00566FAC">
        <w:rPr>
          <w:rFonts w:cstheme="minorHAnsi"/>
        </w:rPr>
        <w:t>this time series data</w:t>
      </w:r>
      <w:r w:rsidR="005452CD" w:rsidRPr="00566FAC">
        <w:rPr>
          <w:rFonts w:cstheme="minorHAnsi"/>
        </w:rPr>
        <w:t xml:space="preserve"> </w:t>
      </w:r>
      <w:r w:rsidRPr="00566FAC">
        <w:rPr>
          <w:rFonts w:cstheme="minorHAnsi"/>
        </w:rPr>
        <w:t>helps to</w:t>
      </w:r>
      <w:r w:rsidR="002B34CB" w:rsidRPr="00566FAC">
        <w:rPr>
          <w:rFonts w:cstheme="minorHAnsi"/>
        </w:rPr>
        <w:t xml:space="preserve"> identify usage patterns</w:t>
      </w:r>
      <w:r w:rsidRPr="00566FAC">
        <w:rPr>
          <w:rFonts w:cstheme="minorHAnsi"/>
        </w:rPr>
        <w:t xml:space="preserve"> over a period of time and</w:t>
      </w:r>
      <w:r w:rsidR="002B34CB" w:rsidRPr="00566FAC">
        <w:rPr>
          <w:rFonts w:cstheme="minorHAnsi"/>
        </w:rPr>
        <w:t xml:space="preserve"> </w:t>
      </w:r>
      <w:r w:rsidRPr="00566FAC">
        <w:rPr>
          <w:rFonts w:cstheme="minorHAnsi"/>
        </w:rPr>
        <w:t xml:space="preserve">across </w:t>
      </w:r>
      <w:r w:rsidR="002B34CB" w:rsidRPr="00566FAC">
        <w:rPr>
          <w:rFonts w:cstheme="minorHAnsi"/>
        </w:rPr>
        <w:t>geographical grids</w:t>
      </w:r>
      <w:r w:rsidRPr="00566FAC">
        <w:rPr>
          <w:rFonts w:cstheme="minorHAnsi"/>
        </w:rPr>
        <w:t xml:space="preserve">. This helps in decision making of resource allocation </w:t>
      </w:r>
      <w:r w:rsidR="009D2B75" w:rsidRPr="00566FAC">
        <w:rPr>
          <w:rFonts w:cstheme="minorHAnsi"/>
        </w:rPr>
        <w:t>by</w:t>
      </w:r>
      <w:r w:rsidRPr="00566FAC">
        <w:rPr>
          <w:rFonts w:cstheme="minorHAnsi"/>
        </w:rPr>
        <w:t xml:space="preserve"> the </w:t>
      </w:r>
      <w:r w:rsidRPr="00566FAC">
        <w:rPr>
          <w:rFonts w:cstheme="minorHAnsi"/>
          <w:u w:val="single"/>
        </w:rPr>
        <w:t>telecom</w:t>
      </w:r>
      <w:r w:rsidR="009D2B75" w:rsidRPr="00566FAC">
        <w:rPr>
          <w:rFonts w:cstheme="minorHAnsi"/>
          <w:u w:val="single"/>
        </w:rPr>
        <w:t>munication company</w:t>
      </w:r>
      <w:r w:rsidRPr="00566FAC">
        <w:rPr>
          <w:rFonts w:cstheme="minorHAnsi"/>
        </w:rPr>
        <w:t xml:space="preserve">. </w:t>
      </w:r>
    </w:p>
    <w:p w14:paraId="41FDD1F6" w14:textId="416C9D8A" w:rsidR="00E9484A" w:rsidRPr="00566FAC" w:rsidRDefault="00E9484A" w:rsidP="00566FAC">
      <w:pPr>
        <w:spacing w:line="276" w:lineRule="auto"/>
        <w:jc w:val="both"/>
        <w:rPr>
          <w:rFonts w:cstheme="minorHAnsi"/>
        </w:rPr>
      </w:pPr>
    </w:p>
    <w:p w14:paraId="2BBCF697" w14:textId="22C5FD9B" w:rsidR="00E9484A" w:rsidRPr="00566FAC" w:rsidRDefault="00E9484A" w:rsidP="00566FAC">
      <w:pPr>
        <w:pStyle w:val="Heading2"/>
        <w:spacing w:line="276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566FAC">
        <w:rPr>
          <w:rFonts w:asciiTheme="minorHAnsi" w:hAnsiTheme="minorHAnsi" w:cstheme="minorHAnsi"/>
          <w:b/>
          <w:bCs/>
          <w:sz w:val="24"/>
          <w:szCs w:val="24"/>
        </w:rPr>
        <w:t>Datasets</w:t>
      </w:r>
    </w:p>
    <w:p w14:paraId="0896FAB0" w14:textId="0EC6151E" w:rsidR="009D2B75" w:rsidRPr="00566FAC" w:rsidRDefault="00DE055D" w:rsidP="00D93A87">
      <w:pPr>
        <w:jc w:val="both"/>
        <w:rPr>
          <w:rFonts w:eastAsia="Times New Roman" w:cstheme="minorHAnsi"/>
        </w:rPr>
      </w:pPr>
      <w:r w:rsidRPr="00566FAC">
        <w:rPr>
          <w:rFonts w:cstheme="minorHAnsi"/>
        </w:rPr>
        <w:t>Telecom Italia organized the ‘Telecom Italia Big Data Challenge’ in 2014, they provided data of two Italian areas: the city of Milan and the Province of Trentino. It is a rich, open multi-source aggregation of telecommunications, weather, news, social networks and electricity data.</w:t>
      </w:r>
      <w:r w:rsidR="009D2B75" w:rsidRPr="00566FAC">
        <w:rPr>
          <w:rFonts w:cstheme="minorHAnsi"/>
        </w:rPr>
        <w:t xml:space="preserve"> The data pertaining to the challenge have been released to the research teams under the Open Database License (</w:t>
      </w:r>
      <w:proofErr w:type="spellStart"/>
      <w:r w:rsidR="009D2B75" w:rsidRPr="00566FAC">
        <w:rPr>
          <w:rFonts w:cstheme="minorHAnsi"/>
        </w:rPr>
        <w:t>ODbL</w:t>
      </w:r>
      <w:proofErr w:type="spellEnd"/>
      <w:r w:rsidR="009D2B75" w:rsidRPr="00566FAC">
        <w:rPr>
          <w:rFonts w:cstheme="minorHAnsi"/>
        </w:rPr>
        <w:t xml:space="preserve">) and is maintained by Harvard </w:t>
      </w:r>
      <w:proofErr w:type="spellStart"/>
      <w:r w:rsidR="009D2B75" w:rsidRPr="00566FAC">
        <w:rPr>
          <w:rFonts w:cstheme="minorHAnsi"/>
        </w:rPr>
        <w:t>Dataverse</w:t>
      </w:r>
      <w:proofErr w:type="spellEnd"/>
      <w:r w:rsidR="009D2B75" w:rsidRPr="00566FAC">
        <w:rPr>
          <w:rFonts w:cstheme="minorHAnsi"/>
        </w:rPr>
        <w:t>.</w:t>
      </w:r>
    </w:p>
    <w:p w14:paraId="75FEFD9D" w14:textId="159FD099" w:rsidR="00DE055D" w:rsidRPr="00566FAC" w:rsidRDefault="00DE055D" w:rsidP="00D93A87">
      <w:pPr>
        <w:jc w:val="both"/>
        <w:rPr>
          <w:rFonts w:cstheme="minorHAnsi"/>
        </w:rPr>
      </w:pPr>
      <w:r w:rsidRPr="00566FAC">
        <w:rPr>
          <w:rFonts w:cstheme="minorHAnsi"/>
        </w:rPr>
        <w:t xml:space="preserve">For this project we will be using </w:t>
      </w:r>
      <w:r w:rsidR="003C5CC8" w:rsidRPr="00566FAC">
        <w:rPr>
          <w:rFonts w:cstheme="minorHAnsi"/>
        </w:rPr>
        <w:t xml:space="preserve">2 months (November &amp; December) of </w:t>
      </w:r>
      <w:r w:rsidRPr="00566FAC">
        <w:rPr>
          <w:rFonts w:cstheme="minorHAnsi"/>
        </w:rPr>
        <w:t>telecommunication activity data from the city of Milan</w:t>
      </w:r>
      <w:r w:rsidR="009B713D" w:rsidRPr="00566FAC">
        <w:rPr>
          <w:rFonts w:cstheme="minorHAnsi"/>
        </w:rPr>
        <w:t>, Italy</w:t>
      </w:r>
      <w:r w:rsidR="003C5CC8" w:rsidRPr="00566FAC">
        <w:rPr>
          <w:rFonts w:cstheme="minorHAnsi"/>
        </w:rPr>
        <w:t xml:space="preserve"> and its census data</w:t>
      </w:r>
      <w:r w:rsidR="008D29B1" w:rsidRPr="00566FAC">
        <w:rPr>
          <w:rFonts w:cstheme="minorHAnsi"/>
        </w:rPr>
        <w:t xml:space="preserve">. </w:t>
      </w:r>
    </w:p>
    <w:p w14:paraId="19FEAD9C" w14:textId="77777777" w:rsidR="00566FAC" w:rsidRDefault="00566FAC" w:rsidP="00566FAC">
      <w:pPr>
        <w:pStyle w:val="Heading3"/>
        <w:jc w:val="both"/>
      </w:pPr>
    </w:p>
    <w:p w14:paraId="2FA05FA3" w14:textId="3F397307" w:rsidR="008D29B1" w:rsidRPr="002B03DB" w:rsidRDefault="008D29B1" w:rsidP="00566FAC">
      <w:pPr>
        <w:pStyle w:val="Heading3"/>
        <w:jc w:val="both"/>
        <w:rPr>
          <w:rFonts w:asciiTheme="minorHAnsi" w:hAnsiTheme="minorHAnsi" w:cstheme="minorHAnsi"/>
        </w:rPr>
      </w:pPr>
      <w:r w:rsidRPr="002B03DB">
        <w:rPr>
          <w:rFonts w:asciiTheme="minorHAnsi" w:hAnsiTheme="minorHAnsi" w:cstheme="minorHAnsi"/>
        </w:rPr>
        <w:t>Telecommunications activity</w:t>
      </w:r>
      <w:r w:rsidR="002E64D4" w:rsidRPr="002B03DB">
        <w:rPr>
          <w:rFonts w:asciiTheme="minorHAnsi" w:hAnsiTheme="minorHAnsi" w:cstheme="minorHAnsi"/>
        </w:rPr>
        <w:t>:</w:t>
      </w:r>
    </w:p>
    <w:p w14:paraId="2E456ADD" w14:textId="723F5C1F" w:rsidR="008D29B1" w:rsidRDefault="008D29B1" w:rsidP="00D93A87">
      <w:pPr>
        <w:jc w:val="both"/>
      </w:pPr>
      <w:r w:rsidRPr="002B03DB">
        <w:rPr>
          <w:rFonts w:cstheme="minorHAnsi"/>
        </w:rPr>
        <w:t>This dataset represents the telecomm</w:t>
      </w:r>
      <w:r w:rsidRPr="008D29B1">
        <w:t xml:space="preserve">unication events which took place within </w:t>
      </w:r>
      <w:r w:rsidR="00C24800">
        <w:t xml:space="preserve">Milan from </w:t>
      </w:r>
      <w:r w:rsidR="003C5CC8">
        <w:t>Nov</w:t>
      </w:r>
      <w:r w:rsidR="00C24800">
        <w:t>-</w:t>
      </w:r>
      <w:r w:rsidR="003C5CC8">
        <w:t>01</w:t>
      </w:r>
      <w:r w:rsidR="00C24800">
        <w:t>-2013 to Jan-01-2014</w:t>
      </w:r>
      <w:r w:rsidR="00566FAC">
        <w:t xml:space="preserve">. </w:t>
      </w:r>
    </w:p>
    <w:p w14:paraId="45D0163D" w14:textId="4E49CA65" w:rsidR="00F03472" w:rsidRPr="00566FAC" w:rsidRDefault="00F03472" w:rsidP="00D93A87">
      <w:pPr>
        <w:jc w:val="both"/>
        <w:rPr>
          <w:sz w:val="20"/>
          <w:szCs w:val="20"/>
        </w:rPr>
      </w:pPr>
      <w:r>
        <w:t xml:space="preserve">File type: </w:t>
      </w:r>
      <w:r w:rsidR="00566FAC" w:rsidRPr="00566FAC">
        <w:rPr>
          <w:sz w:val="20"/>
          <w:szCs w:val="20"/>
        </w:rPr>
        <w:t>T</w:t>
      </w:r>
      <w:r w:rsidRPr="00566FAC">
        <w:rPr>
          <w:sz w:val="20"/>
          <w:szCs w:val="20"/>
        </w:rPr>
        <w:t>SV</w:t>
      </w:r>
    </w:p>
    <w:p w14:paraId="09D95CBA" w14:textId="61AA579D" w:rsidR="00F03472" w:rsidRDefault="00F03472" w:rsidP="00D93A87">
      <w:pPr>
        <w:jc w:val="both"/>
      </w:pPr>
      <w:r>
        <w:t xml:space="preserve">File </w:t>
      </w:r>
      <w:r w:rsidR="00AD6A08">
        <w:t>s</w:t>
      </w:r>
      <w:r>
        <w:t xml:space="preserve">ize: </w:t>
      </w:r>
      <w:r w:rsidRPr="00566FAC">
        <w:rPr>
          <w:sz w:val="20"/>
          <w:szCs w:val="20"/>
        </w:rPr>
        <w:t>~ 200MB – 300MB with ~4 million rows</w:t>
      </w:r>
      <w:r w:rsidR="00566FAC">
        <w:rPr>
          <w:sz w:val="20"/>
          <w:szCs w:val="20"/>
        </w:rPr>
        <w:t xml:space="preserve"> each file</w:t>
      </w:r>
    </w:p>
    <w:p w14:paraId="6599B7B8" w14:textId="3BA1ABD2" w:rsidR="00C24800" w:rsidRPr="00566FAC" w:rsidRDefault="00C24800" w:rsidP="00D93A87">
      <w:pPr>
        <w:jc w:val="both"/>
        <w:rPr>
          <w:sz w:val="20"/>
          <w:szCs w:val="20"/>
        </w:rPr>
      </w:pPr>
      <w:r>
        <w:t>Files:</w:t>
      </w:r>
      <w:r w:rsidR="00566FAC">
        <w:t xml:space="preserve"> </w:t>
      </w:r>
      <w:r w:rsidR="00566FAC" w:rsidRPr="00566FAC">
        <w:rPr>
          <w:sz w:val="20"/>
          <w:szCs w:val="20"/>
        </w:rPr>
        <w:t>sms-call-internet-mi-2013-11-01.txt to sms-call-internet-mi-2014-01-01.txt</w:t>
      </w:r>
    </w:p>
    <w:p w14:paraId="1EB63E0A" w14:textId="7B1EB96A" w:rsidR="008D29B1" w:rsidRPr="00790868" w:rsidRDefault="00790868" w:rsidP="00D93A87">
      <w:pPr>
        <w:jc w:val="both"/>
      </w:pPr>
      <w:r w:rsidRPr="00790868">
        <w:t>Columns</w:t>
      </w:r>
      <w:r>
        <w:t>:</w:t>
      </w:r>
    </w:p>
    <w:p w14:paraId="15A0A96F" w14:textId="3B00E532" w:rsidR="00C24800" w:rsidRPr="00C24800" w:rsidRDefault="00C24800" w:rsidP="00D93A87">
      <w:pPr>
        <w:numPr>
          <w:ilvl w:val="0"/>
          <w:numId w:val="1"/>
        </w:numPr>
        <w:jc w:val="both"/>
        <w:rPr>
          <w:sz w:val="20"/>
          <w:szCs w:val="20"/>
        </w:rPr>
      </w:pPr>
      <w:r w:rsidRPr="00C24800">
        <w:rPr>
          <w:i/>
          <w:iCs/>
          <w:sz w:val="20"/>
          <w:szCs w:val="20"/>
        </w:rPr>
        <w:t>Square id</w:t>
      </w:r>
      <w:r w:rsidRPr="00C24800">
        <w:rPr>
          <w:sz w:val="20"/>
          <w:szCs w:val="20"/>
        </w:rPr>
        <w:t>: identification string of a given square of</w:t>
      </w:r>
      <w:r w:rsidRPr="00F03472">
        <w:rPr>
          <w:sz w:val="20"/>
          <w:szCs w:val="20"/>
        </w:rPr>
        <w:t xml:space="preserve"> </w:t>
      </w:r>
      <w:r w:rsidRPr="00C24800">
        <w:rPr>
          <w:sz w:val="20"/>
          <w:szCs w:val="20"/>
        </w:rPr>
        <w:t>Milan GRID;</w:t>
      </w:r>
    </w:p>
    <w:p w14:paraId="4F90D194" w14:textId="77777777" w:rsidR="00C24800" w:rsidRPr="00C24800" w:rsidRDefault="00C24800" w:rsidP="00D93A87">
      <w:pPr>
        <w:numPr>
          <w:ilvl w:val="0"/>
          <w:numId w:val="1"/>
        </w:numPr>
        <w:jc w:val="both"/>
        <w:rPr>
          <w:sz w:val="20"/>
          <w:szCs w:val="20"/>
        </w:rPr>
      </w:pPr>
      <w:r w:rsidRPr="00C24800">
        <w:rPr>
          <w:i/>
          <w:iCs/>
          <w:sz w:val="20"/>
          <w:szCs w:val="20"/>
        </w:rPr>
        <w:t>Time Interval</w:t>
      </w:r>
      <w:r w:rsidRPr="00C24800">
        <w:rPr>
          <w:sz w:val="20"/>
          <w:szCs w:val="20"/>
        </w:rPr>
        <w:t>: start interval time expressed in milliseconds. The end interval time can be obtained by adding 600,000 milliseconds (10 min) to this value;</w:t>
      </w:r>
    </w:p>
    <w:p w14:paraId="01C4F4D5" w14:textId="77777777" w:rsidR="00C24800" w:rsidRPr="00C24800" w:rsidRDefault="00C24800" w:rsidP="00D93A87">
      <w:pPr>
        <w:numPr>
          <w:ilvl w:val="0"/>
          <w:numId w:val="1"/>
        </w:numPr>
        <w:jc w:val="both"/>
        <w:rPr>
          <w:sz w:val="20"/>
          <w:szCs w:val="20"/>
        </w:rPr>
      </w:pPr>
      <w:r w:rsidRPr="00C24800">
        <w:rPr>
          <w:i/>
          <w:iCs/>
          <w:sz w:val="20"/>
          <w:szCs w:val="20"/>
        </w:rPr>
        <w:t>SMS-in activity</w:t>
      </w:r>
      <w:r w:rsidRPr="00C24800">
        <w:rPr>
          <w:sz w:val="20"/>
          <w:szCs w:val="20"/>
        </w:rPr>
        <w:t>: activity proportional to the amount of received SMSs inside a given Square id and during a given Time interval. The SMSs are sent from the nation identified by the Country code;</w:t>
      </w:r>
    </w:p>
    <w:p w14:paraId="7BF14F97" w14:textId="77777777" w:rsidR="00C24800" w:rsidRPr="00C24800" w:rsidRDefault="00C24800" w:rsidP="00D93A87">
      <w:pPr>
        <w:numPr>
          <w:ilvl w:val="0"/>
          <w:numId w:val="1"/>
        </w:numPr>
        <w:jc w:val="both"/>
        <w:rPr>
          <w:sz w:val="20"/>
          <w:szCs w:val="20"/>
        </w:rPr>
      </w:pPr>
      <w:r w:rsidRPr="00C24800">
        <w:rPr>
          <w:i/>
          <w:iCs/>
          <w:sz w:val="20"/>
          <w:szCs w:val="20"/>
        </w:rPr>
        <w:t>SMS-out activity</w:t>
      </w:r>
      <w:r w:rsidRPr="00C24800">
        <w:rPr>
          <w:sz w:val="20"/>
          <w:szCs w:val="20"/>
        </w:rPr>
        <w:t>: activity proportional to the amount of sent SMSs inside a given Square id during a given Time interval. The SMSs are received in the nation identified by the Country code;</w:t>
      </w:r>
    </w:p>
    <w:p w14:paraId="7387473F" w14:textId="77777777" w:rsidR="00C24800" w:rsidRPr="00C24800" w:rsidRDefault="00C24800" w:rsidP="00D93A87">
      <w:pPr>
        <w:numPr>
          <w:ilvl w:val="0"/>
          <w:numId w:val="1"/>
        </w:numPr>
        <w:jc w:val="both"/>
        <w:rPr>
          <w:sz w:val="20"/>
          <w:szCs w:val="20"/>
        </w:rPr>
      </w:pPr>
      <w:r w:rsidRPr="00C24800">
        <w:rPr>
          <w:i/>
          <w:iCs/>
          <w:sz w:val="20"/>
          <w:szCs w:val="20"/>
        </w:rPr>
        <w:t>Call-in activity</w:t>
      </w:r>
      <w:r w:rsidRPr="00C24800">
        <w:rPr>
          <w:sz w:val="20"/>
          <w:szCs w:val="20"/>
        </w:rPr>
        <w:t>: activity proportional to the amount of received calls inside the Square id during a given Time interval. The calls are issued from the nation identified by the Country code;</w:t>
      </w:r>
    </w:p>
    <w:p w14:paraId="27C52251" w14:textId="77777777" w:rsidR="00C24800" w:rsidRPr="00C24800" w:rsidRDefault="00C24800" w:rsidP="00D93A87">
      <w:pPr>
        <w:numPr>
          <w:ilvl w:val="0"/>
          <w:numId w:val="1"/>
        </w:numPr>
        <w:jc w:val="both"/>
        <w:rPr>
          <w:sz w:val="20"/>
          <w:szCs w:val="20"/>
        </w:rPr>
      </w:pPr>
      <w:r w:rsidRPr="00C24800">
        <w:rPr>
          <w:i/>
          <w:iCs/>
          <w:sz w:val="20"/>
          <w:szCs w:val="20"/>
        </w:rPr>
        <w:t>Call-out activity</w:t>
      </w:r>
      <w:r w:rsidRPr="00C24800">
        <w:rPr>
          <w:sz w:val="20"/>
          <w:szCs w:val="20"/>
        </w:rPr>
        <w:t>: activity proportional to the amount of issued calls inside a given Square id during a given Time interval. The calls are received in the nation identified by the Country code;</w:t>
      </w:r>
    </w:p>
    <w:p w14:paraId="50C23C97" w14:textId="4A376767" w:rsidR="00C24800" w:rsidRPr="00C24800" w:rsidRDefault="00C24800" w:rsidP="00D93A87">
      <w:pPr>
        <w:numPr>
          <w:ilvl w:val="0"/>
          <w:numId w:val="1"/>
        </w:numPr>
        <w:jc w:val="both"/>
        <w:rPr>
          <w:sz w:val="20"/>
          <w:szCs w:val="20"/>
        </w:rPr>
      </w:pPr>
      <w:r w:rsidRPr="00C24800">
        <w:rPr>
          <w:i/>
          <w:iCs/>
          <w:sz w:val="20"/>
          <w:szCs w:val="20"/>
        </w:rPr>
        <w:t>Internet traffic activity</w:t>
      </w:r>
      <w:r w:rsidRPr="00C24800">
        <w:rPr>
          <w:sz w:val="20"/>
          <w:szCs w:val="20"/>
        </w:rPr>
        <w:t>: number of CDRs generated inside a given Square id during a given Time interval. The Internet traffic is initiated from the nation identified by the Country code</w:t>
      </w:r>
      <w:r w:rsidR="00B60272">
        <w:rPr>
          <w:sz w:val="20"/>
          <w:szCs w:val="20"/>
        </w:rPr>
        <w:t>;</w:t>
      </w:r>
    </w:p>
    <w:p w14:paraId="6CA89ABF" w14:textId="09453974" w:rsidR="00566FAC" w:rsidRDefault="00C24800" w:rsidP="00566FAC">
      <w:pPr>
        <w:numPr>
          <w:ilvl w:val="0"/>
          <w:numId w:val="1"/>
        </w:numPr>
        <w:jc w:val="both"/>
        <w:rPr>
          <w:sz w:val="20"/>
          <w:szCs w:val="20"/>
        </w:rPr>
      </w:pPr>
      <w:r w:rsidRPr="00C24800">
        <w:rPr>
          <w:i/>
          <w:iCs/>
          <w:sz w:val="20"/>
          <w:szCs w:val="20"/>
        </w:rPr>
        <w:lastRenderedPageBreak/>
        <w:t>Country code</w:t>
      </w:r>
      <w:r w:rsidRPr="00C24800">
        <w:rPr>
          <w:sz w:val="20"/>
          <w:szCs w:val="20"/>
        </w:rPr>
        <w:t>: the phone country code of the nation.</w:t>
      </w:r>
    </w:p>
    <w:p w14:paraId="3FB9D75B" w14:textId="77777777" w:rsidR="00566FAC" w:rsidRDefault="00566FAC" w:rsidP="00566FAC">
      <w:pPr>
        <w:ind w:left="360"/>
        <w:jc w:val="both"/>
        <w:rPr>
          <w:sz w:val="20"/>
          <w:szCs w:val="20"/>
        </w:rPr>
      </w:pPr>
    </w:p>
    <w:p w14:paraId="2F0A1327" w14:textId="1804010A" w:rsidR="00C24800" w:rsidRPr="00566FAC" w:rsidRDefault="00C24800" w:rsidP="00566FAC">
      <w:pPr>
        <w:pStyle w:val="Heading3"/>
        <w:rPr>
          <w:rFonts w:asciiTheme="minorHAnsi" w:hAnsiTheme="minorHAnsi" w:cstheme="minorHAnsi"/>
          <w:sz w:val="20"/>
          <w:szCs w:val="20"/>
        </w:rPr>
      </w:pPr>
      <w:r w:rsidRPr="00566FAC">
        <w:rPr>
          <w:rFonts w:asciiTheme="minorHAnsi" w:hAnsiTheme="minorHAnsi" w:cstheme="minorHAnsi"/>
        </w:rPr>
        <w:t>Grid</w:t>
      </w:r>
      <w:r w:rsidR="002E64D4" w:rsidRPr="00566FAC">
        <w:rPr>
          <w:rFonts w:asciiTheme="minorHAnsi" w:hAnsiTheme="minorHAnsi" w:cstheme="minorHAnsi"/>
        </w:rPr>
        <w:t>:</w:t>
      </w:r>
    </w:p>
    <w:p w14:paraId="1BBBEE7C" w14:textId="28387C66" w:rsidR="00C24800" w:rsidRDefault="00F03472" w:rsidP="00D93A87">
      <w:pPr>
        <w:jc w:val="both"/>
      </w:pPr>
      <w:r w:rsidRPr="00566FAC">
        <w:rPr>
          <w:rFonts w:cstheme="minorHAnsi"/>
        </w:rPr>
        <w:t xml:space="preserve">The original bundle of datasets come from various companies (telecommunications, weather, news, social networks and electricity) with different standards. To ease </w:t>
      </w:r>
      <w:r w:rsidR="009B713D" w:rsidRPr="00566FAC">
        <w:rPr>
          <w:rFonts w:cstheme="minorHAnsi"/>
        </w:rPr>
        <w:t xml:space="preserve">the </w:t>
      </w:r>
      <w:r w:rsidRPr="00566FAC">
        <w:rPr>
          <w:rFonts w:cstheme="minorHAnsi"/>
        </w:rPr>
        <w:t>comparisons of different geographical areas, the city of Milan’s spatial distribution is aggregated in a grid with square cells. The area is composed of a grid overlay of 1</w:t>
      </w:r>
      <w:r w:rsidR="00287BAD" w:rsidRPr="00566FAC">
        <w:rPr>
          <w:rFonts w:cstheme="minorHAnsi"/>
        </w:rPr>
        <w:t>0,</w:t>
      </w:r>
      <w:r w:rsidRPr="00566FAC">
        <w:rPr>
          <w:rFonts w:cstheme="minorHAnsi"/>
        </w:rPr>
        <w:t xml:space="preserve">000 squares with size of about 235×235 meters. </w:t>
      </w:r>
      <w:r w:rsidR="00C24800" w:rsidRPr="00566FAC">
        <w:rPr>
          <w:rFonts w:cstheme="minorHAnsi"/>
        </w:rPr>
        <w:t>This dataset provides the geographical reference of each square which composes the grid in the reference system: WGS 84—EPSG:4326</w:t>
      </w:r>
    </w:p>
    <w:p w14:paraId="12471277" w14:textId="5227EEBA" w:rsidR="00F03472" w:rsidRDefault="00F03472" w:rsidP="00D93A87">
      <w:pPr>
        <w:jc w:val="both"/>
      </w:pPr>
      <w:r>
        <w:t>File</w:t>
      </w:r>
      <w:r w:rsidR="00AD6A08">
        <w:t xml:space="preserve"> </w:t>
      </w:r>
      <w:r>
        <w:t xml:space="preserve">type: </w:t>
      </w:r>
      <w:proofErr w:type="spellStart"/>
      <w:r w:rsidRPr="00566FAC">
        <w:rPr>
          <w:sz w:val="20"/>
          <w:szCs w:val="20"/>
        </w:rPr>
        <w:t>geojson</w:t>
      </w:r>
      <w:proofErr w:type="spellEnd"/>
    </w:p>
    <w:p w14:paraId="28D19C08" w14:textId="23505F55" w:rsidR="00F03472" w:rsidRDefault="00F03472" w:rsidP="00D93A87">
      <w:pPr>
        <w:jc w:val="both"/>
      </w:pPr>
      <w:r>
        <w:t>File</w:t>
      </w:r>
      <w:r w:rsidR="00AD6A08">
        <w:t xml:space="preserve"> size</w:t>
      </w:r>
      <w:r>
        <w:t xml:space="preserve">: </w:t>
      </w:r>
      <w:r w:rsidRPr="00566FAC">
        <w:rPr>
          <w:sz w:val="20"/>
          <w:szCs w:val="20"/>
        </w:rPr>
        <w:t>3MB</w:t>
      </w:r>
    </w:p>
    <w:p w14:paraId="603ABF0D" w14:textId="2D6649FC" w:rsidR="00F03472" w:rsidRPr="00F03472" w:rsidRDefault="00AD6A08" w:rsidP="00D93A87">
      <w:pPr>
        <w:jc w:val="both"/>
        <w:rPr>
          <w:sz w:val="20"/>
          <w:szCs w:val="20"/>
        </w:rPr>
      </w:pPr>
      <w:r w:rsidRPr="00AD6A08">
        <w:t>File:</w:t>
      </w:r>
      <w:r>
        <w:rPr>
          <w:sz w:val="20"/>
          <w:szCs w:val="20"/>
        </w:rPr>
        <w:t xml:space="preserve"> </w:t>
      </w:r>
      <w:proofErr w:type="spellStart"/>
      <w:r w:rsidR="00F03472" w:rsidRPr="00F03472">
        <w:rPr>
          <w:sz w:val="20"/>
          <w:szCs w:val="20"/>
        </w:rPr>
        <w:t>milano-</w:t>
      </w:r>
      <w:proofErr w:type="gramStart"/>
      <w:r w:rsidR="00F03472" w:rsidRPr="00F03472">
        <w:rPr>
          <w:sz w:val="20"/>
          <w:szCs w:val="20"/>
        </w:rPr>
        <w:t>grid.geojson</w:t>
      </w:r>
      <w:proofErr w:type="spellEnd"/>
      <w:proofErr w:type="gramEnd"/>
    </w:p>
    <w:p w14:paraId="1E5B946B" w14:textId="3306F809" w:rsidR="00F03472" w:rsidRPr="00C24800" w:rsidRDefault="00790868" w:rsidP="00D93A87">
      <w:pPr>
        <w:jc w:val="both"/>
        <w:rPr>
          <w:sz w:val="20"/>
          <w:szCs w:val="20"/>
        </w:rPr>
      </w:pPr>
      <w:r w:rsidRPr="00790868">
        <w:t>Columns</w:t>
      </w:r>
      <w:r>
        <w:t>:</w:t>
      </w:r>
    </w:p>
    <w:p w14:paraId="10A62E20" w14:textId="77777777" w:rsidR="00F03472" w:rsidRPr="00F03472" w:rsidRDefault="00F03472" w:rsidP="00D93A87">
      <w:pPr>
        <w:numPr>
          <w:ilvl w:val="0"/>
          <w:numId w:val="2"/>
        </w:numPr>
        <w:jc w:val="both"/>
        <w:rPr>
          <w:sz w:val="20"/>
          <w:szCs w:val="20"/>
        </w:rPr>
      </w:pPr>
      <w:r w:rsidRPr="00F03472">
        <w:rPr>
          <w:i/>
          <w:iCs/>
          <w:sz w:val="20"/>
          <w:szCs w:val="20"/>
        </w:rPr>
        <w:t>square id</w:t>
      </w:r>
      <w:r w:rsidRPr="00F03472">
        <w:rPr>
          <w:sz w:val="20"/>
          <w:szCs w:val="20"/>
        </w:rPr>
        <w:t>: identification string of a given square of the Milan or Trentino GRID;</w:t>
      </w:r>
    </w:p>
    <w:p w14:paraId="0C3C5383" w14:textId="3036C6A8" w:rsidR="003C5CC8" w:rsidRDefault="00F03472" w:rsidP="003C5CC8">
      <w:pPr>
        <w:numPr>
          <w:ilvl w:val="0"/>
          <w:numId w:val="2"/>
        </w:numPr>
        <w:jc w:val="both"/>
        <w:rPr>
          <w:sz w:val="20"/>
          <w:szCs w:val="20"/>
        </w:rPr>
      </w:pPr>
      <w:r w:rsidRPr="00F03472">
        <w:rPr>
          <w:i/>
          <w:iCs/>
          <w:sz w:val="20"/>
          <w:szCs w:val="20"/>
        </w:rPr>
        <w:t>Time Interval</w:t>
      </w:r>
      <w:r w:rsidRPr="00F03472">
        <w:rPr>
          <w:sz w:val="20"/>
          <w:szCs w:val="20"/>
        </w:rPr>
        <w:t xml:space="preserve">: The cell geometry expressed as </w:t>
      </w:r>
      <w:proofErr w:type="spellStart"/>
      <w:r w:rsidRPr="00F03472">
        <w:rPr>
          <w:sz w:val="20"/>
          <w:szCs w:val="20"/>
        </w:rPr>
        <w:t>geoJSON</w:t>
      </w:r>
      <w:proofErr w:type="spellEnd"/>
      <w:r w:rsidRPr="00F03472">
        <w:rPr>
          <w:sz w:val="20"/>
          <w:szCs w:val="20"/>
        </w:rPr>
        <w:t xml:space="preserve"> and projected in WGS84 (EPSG:4326).</w:t>
      </w:r>
    </w:p>
    <w:p w14:paraId="406FEC54" w14:textId="20CA2F6E" w:rsidR="003C5CC8" w:rsidRDefault="003C5CC8" w:rsidP="00566FAC">
      <w:pPr>
        <w:jc w:val="both"/>
        <w:rPr>
          <w:sz w:val="20"/>
          <w:szCs w:val="20"/>
        </w:rPr>
      </w:pPr>
    </w:p>
    <w:p w14:paraId="29100F30" w14:textId="701A1A78" w:rsidR="000555F4" w:rsidRPr="00566FAC" w:rsidRDefault="00691F6E" w:rsidP="00566FAC">
      <w:pPr>
        <w:pStyle w:val="Heading3"/>
        <w:rPr>
          <w:rFonts w:asciiTheme="minorHAnsi" w:hAnsiTheme="minorHAnsi" w:cstheme="minorHAnsi"/>
        </w:rPr>
      </w:pPr>
      <w:r w:rsidRPr="00566FAC">
        <w:rPr>
          <w:rFonts w:asciiTheme="minorHAnsi" w:hAnsiTheme="minorHAnsi" w:cstheme="minorHAnsi"/>
        </w:rPr>
        <w:t xml:space="preserve">Census: </w:t>
      </w:r>
    </w:p>
    <w:p w14:paraId="61EB1E7C" w14:textId="408C09D4" w:rsidR="003C5CC8" w:rsidRPr="00566FAC" w:rsidRDefault="00691F6E" w:rsidP="000555F4">
      <w:pPr>
        <w:jc w:val="both"/>
        <w:rPr>
          <w:rFonts w:cstheme="minorHAnsi"/>
        </w:rPr>
      </w:pPr>
      <w:proofErr w:type="spellStart"/>
      <w:r w:rsidRPr="00566FAC">
        <w:rPr>
          <w:rFonts w:cstheme="minorHAnsi"/>
        </w:rPr>
        <w:t>Istat</w:t>
      </w:r>
      <w:proofErr w:type="spellEnd"/>
      <w:r w:rsidRPr="00566FAC">
        <w:rPr>
          <w:rFonts w:cstheme="minorHAnsi"/>
        </w:rPr>
        <w:t xml:space="preserve"> provides census datasets that can be aggregated at Grid level for more insights. </w:t>
      </w:r>
    </w:p>
    <w:p w14:paraId="4D8BFF9F" w14:textId="77777777" w:rsidR="00C24800" w:rsidRPr="00C24800" w:rsidRDefault="00C24800" w:rsidP="00566FAC">
      <w:pPr>
        <w:spacing w:line="276" w:lineRule="auto"/>
        <w:jc w:val="both"/>
      </w:pPr>
    </w:p>
    <w:p w14:paraId="6B36257A" w14:textId="2E02CF9C" w:rsidR="002E64D4" w:rsidRPr="00566FAC" w:rsidRDefault="002E64D4" w:rsidP="00566FAC">
      <w:pPr>
        <w:pStyle w:val="Heading2"/>
        <w:spacing w:line="276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566FAC">
        <w:rPr>
          <w:rFonts w:asciiTheme="minorHAnsi" w:hAnsiTheme="minorHAnsi" w:cstheme="minorHAnsi"/>
          <w:b/>
          <w:bCs/>
          <w:sz w:val="24"/>
          <w:szCs w:val="24"/>
        </w:rPr>
        <w:t>Approach</w:t>
      </w:r>
    </w:p>
    <w:p w14:paraId="67B72853" w14:textId="5939A6AC" w:rsidR="00F02588" w:rsidRPr="00566FAC" w:rsidRDefault="00691F6E" w:rsidP="000555F4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566FAC">
        <w:rPr>
          <w:rFonts w:cstheme="minorHAnsi"/>
        </w:rPr>
        <w:t>Identify high and low performing grids</w:t>
      </w:r>
    </w:p>
    <w:p w14:paraId="13BBF6DE" w14:textId="3FBD220F" w:rsidR="00691F6E" w:rsidRPr="00566FAC" w:rsidRDefault="00691F6E" w:rsidP="000555F4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566FAC">
        <w:rPr>
          <w:rFonts w:cstheme="minorHAnsi"/>
        </w:rPr>
        <w:t>Month on month trend analysis</w:t>
      </w:r>
    </w:p>
    <w:p w14:paraId="55D075E9" w14:textId="53864499" w:rsidR="00691F6E" w:rsidRPr="00566FAC" w:rsidRDefault="00691F6E" w:rsidP="000555F4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566FAC">
        <w:rPr>
          <w:rFonts w:cstheme="minorHAnsi"/>
        </w:rPr>
        <w:t>Weekday level analysis</w:t>
      </w:r>
    </w:p>
    <w:p w14:paraId="610291E6" w14:textId="6D7E95EB" w:rsidR="00691F6E" w:rsidRPr="00566FAC" w:rsidRDefault="00691F6E" w:rsidP="000555F4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566FAC">
        <w:rPr>
          <w:rFonts w:cstheme="minorHAnsi"/>
        </w:rPr>
        <w:t>Forecast the volumes for the first week of January using the top grids</w:t>
      </w:r>
    </w:p>
    <w:p w14:paraId="6F145DFE" w14:textId="3674FF60" w:rsidR="00691F6E" w:rsidRDefault="00691F6E" w:rsidP="000555F4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566FAC">
        <w:rPr>
          <w:rFonts w:cstheme="minorHAnsi"/>
        </w:rPr>
        <w:t>Clustering - Combine Grid and census data to identify grids of similar attributes that can be used as market segments</w:t>
      </w:r>
    </w:p>
    <w:p w14:paraId="4175CBEF" w14:textId="77777777" w:rsidR="00566FAC" w:rsidRPr="00566FAC" w:rsidRDefault="00566FAC" w:rsidP="00566FAC">
      <w:pPr>
        <w:pStyle w:val="ListParagraph"/>
        <w:jc w:val="both"/>
        <w:rPr>
          <w:rFonts w:cstheme="minorHAnsi"/>
        </w:rPr>
      </w:pPr>
    </w:p>
    <w:p w14:paraId="367D0D31" w14:textId="759AD6F3" w:rsidR="00F02588" w:rsidRPr="00566FAC" w:rsidRDefault="00566FAC" w:rsidP="00566FAC">
      <w:pPr>
        <w:pStyle w:val="Heading2"/>
        <w:spacing w:line="276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566FAC">
        <w:rPr>
          <w:rFonts w:asciiTheme="minorHAnsi" w:hAnsiTheme="minorHAnsi" w:cstheme="minorHAnsi"/>
          <w:b/>
          <w:bCs/>
          <w:sz w:val="24"/>
          <w:szCs w:val="24"/>
        </w:rPr>
        <w:t xml:space="preserve"> Deliverables</w:t>
      </w:r>
    </w:p>
    <w:p w14:paraId="428F7ADE" w14:textId="3FA44E87" w:rsidR="00F02588" w:rsidRPr="00566FAC" w:rsidRDefault="00F02588" w:rsidP="00F02588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566FAC">
        <w:rPr>
          <w:rFonts w:cstheme="minorHAnsi"/>
        </w:rPr>
        <w:t>Code</w:t>
      </w:r>
    </w:p>
    <w:p w14:paraId="1D657706" w14:textId="206F8761" w:rsidR="00F02588" w:rsidRPr="00566FAC" w:rsidRDefault="00F02588" w:rsidP="00F02588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566FAC">
        <w:rPr>
          <w:rFonts w:cstheme="minorHAnsi"/>
        </w:rPr>
        <w:t>Report</w:t>
      </w:r>
    </w:p>
    <w:p w14:paraId="71A96815" w14:textId="672C6824" w:rsidR="00F02588" w:rsidRPr="00566FAC" w:rsidRDefault="00F02588" w:rsidP="00F02588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566FAC">
        <w:rPr>
          <w:rFonts w:cstheme="minorHAnsi"/>
        </w:rPr>
        <w:t>Slide Deck</w:t>
      </w:r>
    </w:p>
    <w:p w14:paraId="34DF5269" w14:textId="77777777" w:rsidR="002E64D4" w:rsidRPr="002E64D4" w:rsidRDefault="002E64D4" w:rsidP="00566FAC">
      <w:pPr>
        <w:spacing w:line="276" w:lineRule="auto"/>
        <w:jc w:val="both"/>
      </w:pPr>
    </w:p>
    <w:p w14:paraId="129BE165" w14:textId="50963883" w:rsidR="00C24800" w:rsidRPr="00566FAC" w:rsidRDefault="009B713D" w:rsidP="00566FAC">
      <w:pPr>
        <w:pStyle w:val="Heading2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66FAC">
        <w:rPr>
          <w:rFonts w:asciiTheme="minorHAnsi" w:hAnsiTheme="minorHAnsi" w:cstheme="minorHAnsi"/>
          <w:b/>
          <w:bCs/>
          <w:sz w:val="24"/>
          <w:szCs w:val="24"/>
        </w:rPr>
        <w:t>Citations</w:t>
      </w:r>
    </w:p>
    <w:p w14:paraId="5D969EE4" w14:textId="7742BFE8" w:rsidR="009B713D" w:rsidRPr="00566FAC" w:rsidRDefault="00455A3E" w:rsidP="00D93A87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hyperlink r:id="rId5" w:history="1">
        <w:proofErr w:type="spellStart"/>
        <w:r w:rsidR="009B713D" w:rsidRPr="00566FAC">
          <w:rPr>
            <w:rStyle w:val="Hyperlink"/>
            <w:sz w:val="20"/>
            <w:szCs w:val="20"/>
          </w:rPr>
          <w:t>Barlacchi</w:t>
        </w:r>
        <w:proofErr w:type="spellEnd"/>
        <w:r w:rsidR="009B713D" w:rsidRPr="00566FAC">
          <w:rPr>
            <w:rStyle w:val="Hyperlink"/>
            <w:sz w:val="20"/>
            <w:szCs w:val="20"/>
          </w:rPr>
          <w:t>, G. </w:t>
        </w:r>
        <w:r w:rsidR="009B713D" w:rsidRPr="00566FAC">
          <w:rPr>
            <w:rStyle w:val="Hyperlink"/>
            <w:i/>
            <w:iCs/>
            <w:sz w:val="20"/>
            <w:szCs w:val="20"/>
          </w:rPr>
          <w:t>et al.</w:t>
        </w:r>
        <w:r w:rsidR="009B713D" w:rsidRPr="00566FAC">
          <w:rPr>
            <w:rStyle w:val="Hyperlink"/>
            <w:sz w:val="20"/>
            <w:szCs w:val="20"/>
          </w:rPr>
          <w:t> A multi-source dataset of urban life in the city of Milan and the Province of Trentino. </w:t>
        </w:r>
        <w:r w:rsidR="009B713D" w:rsidRPr="00566FAC">
          <w:rPr>
            <w:rStyle w:val="Hyperlink"/>
            <w:i/>
            <w:iCs/>
            <w:sz w:val="20"/>
            <w:szCs w:val="20"/>
          </w:rPr>
          <w:t>Sci. Data</w:t>
        </w:r>
        <w:r w:rsidR="009B713D" w:rsidRPr="00566FAC">
          <w:rPr>
            <w:rStyle w:val="Hyperlink"/>
            <w:sz w:val="20"/>
            <w:szCs w:val="20"/>
          </w:rPr>
          <w:t xml:space="preserve">2:150055 </w:t>
        </w:r>
        <w:proofErr w:type="spellStart"/>
        <w:r w:rsidR="009B713D" w:rsidRPr="00566FAC">
          <w:rPr>
            <w:rStyle w:val="Hyperlink"/>
            <w:sz w:val="20"/>
            <w:szCs w:val="20"/>
          </w:rPr>
          <w:t>doi</w:t>
        </w:r>
        <w:proofErr w:type="spellEnd"/>
        <w:r w:rsidR="009B713D" w:rsidRPr="00566FAC">
          <w:rPr>
            <w:rStyle w:val="Hyperlink"/>
            <w:sz w:val="20"/>
            <w:szCs w:val="20"/>
          </w:rPr>
          <w:t>: 10.1038/sdata.2015.55 (2015).</w:t>
        </w:r>
      </w:hyperlink>
    </w:p>
    <w:p w14:paraId="3EDCF432" w14:textId="77777777" w:rsidR="009B713D" w:rsidRPr="00566FAC" w:rsidRDefault="009B713D" w:rsidP="00D93A87">
      <w:pPr>
        <w:pStyle w:val="ListParagraph"/>
        <w:numPr>
          <w:ilvl w:val="0"/>
          <w:numId w:val="3"/>
        </w:numPr>
        <w:jc w:val="both"/>
        <w:rPr>
          <w:color w:val="0563C1" w:themeColor="hyperlink"/>
          <w:sz w:val="20"/>
          <w:szCs w:val="20"/>
        </w:rPr>
      </w:pPr>
      <w:r w:rsidRPr="00566FAC">
        <w:rPr>
          <w:color w:val="0563C1" w:themeColor="hyperlink"/>
          <w:sz w:val="20"/>
          <w:szCs w:val="20"/>
        </w:rPr>
        <w:t>Telecom Italia, 2015, "Telecommunications - SMS, Call, Internet - MI", </w:t>
      </w:r>
      <w:hyperlink r:id="rId6" w:tgtFrame="_blank" w:history="1">
        <w:r w:rsidRPr="00566FAC">
          <w:rPr>
            <w:rStyle w:val="Hyperlink"/>
            <w:sz w:val="20"/>
            <w:szCs w:val="20"/>
          </w:rPr>
          <w:t>https://doi.org/10.7910/DVN/EGZHFV</w:t>
        </w:r>
      </w:hyperlink>
      <w:r w:rsidRPr="00566FAC">
        <w:rPr>
          <w:color w:val="0563C1" w:themeColor="hyperlink"/>
          <w:sz w:val="20"/>
          <w:szCs w:val="20"/>
        </w:rPr>
        <w:t xml:space="preserve">, Harvard </w:t>
      </w:r>
      <w:proofErr w:type="spellStart"/>
      <w:r w:rsidRPr="00566FAC">
        <w:rPr>
          <w:color w:val="0563C1" w:themeColor="hyperlink"/>
          <w:sz w:val="20"/>
          <w:szCs w:val="20"/>
        </w:rPr>
        <w:t>Dataverse</w:t>
      </w:r>
      <w:proofErr w:type="spellEnd"/>
      <w:r w:rsidRPr="00566FAC">
        <w:rPr>
          <w:color w:val="0563C1" w:themeColor="hyperlink"/>
          <w:sz w:val="20"/>
          <w:szCs w:val="20"/>
        </w:rPr>
        <w:t>, V1</w:t>
      </w:r>
    </w:p>
    <w:p w14:paraId="61470439" w14:textId="52A65D7E" w:rsidR="00E9484A" w:rsidRPr="00566FAC" w:rsidRDefault="009B713D" w:rsidP="00D93A87">
      <w:pPr>
        <w:pStyle w:val="ListParagraph"/>
        <w:numPr>
          <w:ilvl w:val="0"/>
          <w:numId w:val="3"/>
        </w:numPr>
        <w:jc w:val="both"/>
        <w:rPr>
          <w:color w:val="0563C1" w:themeColor="hyperlink"/>
          <w:sz w:val="20"/>
          <w:szCs w:val="20"/>
        </w:rPr>
      </w:pPr>
      <w:r w:rsidRPr="00566FAC">
        <w:rPr>
          <w:color w:val="0563C1" w:themeColor="hyperlink"/>
          <w:sz w:val="20"/>
          <w:szCs w:val="20"/>
        </w:rPr>
        <w:t>Telecom Italia, 2015, "Milano Grid", </w:t>
      </w:r>
      <w:hyperlink r:id="rId7" w:tgtFrame="_blank" w:history="1">
        <w:r w:rsidRPr="00566FAC">
          <w:rPr>
            <w:rStyle w:val="Hyperlink"/>
            <w:sz w:val="20"/>
            <w:szCs w:val="20"/>
          </w:rPr>
          <w:t>https://doi.org/10.7910/DVN/QJWLFU</w:t>
        </w:r>
      </w:hyperlink>
      <w:r w:rsidRPr="00566FAC">
        <w:rPr>
          <w:color w:val="0563C1" w:themeColor="hyperlink"/>
          <w:sz w:val="20"/>
          <w:szCs w:val="20"/>
        </w:rPr>
        <w:t xml:space="preserve">, Harvard </w:t>
      </w:r>
      <w:proofErr w:type="spellStart"/>
      <w:r w:rsidRPr="00566FAC">
        <w:rPr>
          <w:color w:val="0563C1" w:themeColor="hyperlink"/>
          <w:sz w:val="20"/>
          <w:szCs w:val="20"/>
        </w:rPr>
        <w:t>Dataverse</w:t>
      </w:r>
      <w:proofErr w:type="spellEnd"/>
      <w:r w:rsidRPr="00566FAC">
        <w:rPr>
          <w:color w:val="0563C1" w:themeColor="hyperlink"/>
          <w:sz w:val="20"/>
          <w:szCs w:val="20"/>
        </w:rPr>
        <w:t>, V1</w:t>
      </w:r>
    </w:p>
    <w:sectPr w:rsidR="00E9484A" w:rsidRPr="00566FAC" w:rsidSect="00691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95D9D"/>
    <w:multiLevelType w:val="multilevel"/>
    <w:tmpl w:val="49DE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365BBB"/>
    <w:multiLevelType w:val="hybridMultilevel"/>
    <w:tmpl w:val="D7DA4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E3B46"/>
    <w:multiLevelType w:val="hybridMultilevel"/>
    <w:tmpl w:val="55761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90B5A"/>
    <w:multiLevelType w:val="hybridMultilevel"/>
    <w:tmpl w:val="5B842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12523"/>
    <w:multiLevelType w:val="hybridMultilevel"/>
    <w:tmpl w:val="A52CFF36"/>
    <w:lvl w:ilvl="0" w:tplc="CAAE19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7E2A64"/>
    <w:multiLevelType w:val="multilevel"/>
    <w:tmpl w:val="148C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ED"/>
    <w:rsid w:val="000555F4"/>
    <w:rsid w:val="00112196"/>
    <w:rsid w:val="00287BAD"/>
    <w:rsid w:val="002B03DB"/>
    <w:rsid w:val="002B34CB"/>
    <w:rsid w:val="002E64D4"/>
    <w:rsid w:val="00364D90"/>
    <w:rsid w:val="003C5CC8"/>
    <w:rsid w:val="00455A3E"/>
    <w:rsid w:val="005062E0"/>
    <w:rsid w:val="005452CD"/>
    <w:rsid w:val="00550AED"/>
    <w:rsid w:val="00566FAC"/>
    <w:rsid w:val="005A3567"/>
    <w:rsid w:val="00691B94"/>
    <w:rsid w:val="00691F6E"/>
    <w:rsid w:val="006D2836"/>
    <w:rsid w:val="00711471"/>
    <w:rsid w:val="00790868"/>
    <w:rsid w:val="008D29B1"/>
    <w:rsid w:val="009B713D"/>
    <w:rsid w:val="009D2B75"/>
    <w:rsid w:val="009E56C8"/>
    <w:rsid w:val="00AC1390"/>
    <w:rsid w:val="00AD6A08"/>
    <w:rsid w:val="00AF59EA"/>
    <w:rsid w:val="00B60272"/>
    <w:rsid w:val="00C21AE6"/>
    <w:rsid w:val="00C24800"/>
    <w:rsid w:val="00D93A87"/>
    <w:rsid w:val="00DE055D"/>
    <w:rsid w:val="00E9484A"/>
    <w:rsid w:val="00F02588"/>
    <w:rsid w:val="00F0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27657"/>
  <w15:chartTrackingRefBased/>
  <w15:docId w15:val="{40434CD6-8874-A44D-843B-432D9FC2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4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4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4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7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1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713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B71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6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64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64D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7910/DVN/QJWLF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7910/DVN/EGZHFV" TargetMode="External"/><Relationship Id="rId5" Type="http://schemas.openxmlformats.org/officeDocument/2006/relationships/hyperlink" Target="https://www.nature.com/articles/sdata20155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Subbiah</dc:creator>
  <cp:keywords/>
  <dc:description/>
  <cp:lastModifiedBy>Aruna Subbiah</cp:lastModifiedBy>
  <cp:revision>10</cp:revision>
  <dcterms:created xsi:type="dcterms:W3CDTF">2019-09-04T04:45:00Z</dcterms:created>
  <dcterms:modified xsi:type="dcterms:W3CDTF">2019-10-06T21:29:00Z</dcterms:modified>
</cp:coreProperties>
</file>