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0A2540"/>
          <w:sz w:val="48"/>
        </w:rPr>
        <w:t>RecoverAI — Autonomous AR Follow-Up &amp; Revenue Cycle AI Platform</w:t>
      </w:r>
    </w:p>
    <w:p>
      <w:pPr>
        <w:spacing w:after="320"/>
      </w:pPr>
      <w:r>
        <w:rPr>
          <w:color w:val="2563EB"/>
          <w:sz w:val="26"/>
        </w:rPr>
        <w:t>Comprehensive System Architecture, Machine Learning Intelligence, Payer Policy Vector RAG, and Closed-Loop Autonomous Recovery Engine</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Pr>
          <w:p>
            <w:pPr>
              <w:spacing w:before="40" w:after="80"/>
            </w:pPr>
            <w:r>
              <w:rPr>
                <w:b/>
                <w:color w:val="004488"/>
                <w:sz w:val="21"/>
              </w:rPr>
              <w:t>📌 System Metadata &amp; Architecture Specifications</w:t>
              <w:br/>
            </w:r>
            <w:r>
              <w:rPr>
                <w:color w:val="223344"/>
                <w:sz w:val="19"/>
              </w:rPr>
              <w:t>• Project: RecoverAI (Accounts Receivable Follow-Up AI)</w:t>
              <w:br/>
              <w:t>• Production Dataset: 10,000 Hospital Claims | 10 Payers | 40 Policy Chunks | 10,000 Outcomes ($44.05M AR)</w:t>
              <w:br/>
              <w:t>• Machine Learning: Dual HistGradientBoosting Classifiers (Delay ROC-AUC 0.746 | Denial ROC-AUC 0.782)</w:t>
              <w:br/>
              <w:t>• Knowledge Architecture: TF-IDF Vector Space Model + Cosine Similarity Payer Policy RAG</w:t>
              <w:br/>
              <w:t>• Decision Architecture: Autonomous AI Follow-Up Agent + Multi-Format CMS/UB-04 Generator</w:t>
              <w:br/>
              <w:t>• Adjudication Engine: Probabilistic 4-Class Payer Response Simulator &amp; Ledger State Committer</w:t>
              <w:br/>
              <w:t>• Core Frameworks: Python 3.14, FastAPI, SQLAlchemy, SQLite, React 19, TypeScript, Vite, Tailwind CSS, Recharts</w:t>
            </w:r>
          </w:p>
        </w:tc>
      </w:tr>
    </w:tbl>
    <w:p>
      <w:pPr>
        <w:spacing w:after="120"/>
      </w:pPr>
    </w:p>
    <w:p>
      <w:pPr>
        <w:pStyle w:val="Heading1"/>
        <w:spacing w:before="280"/>
      </w:pPr>
      <w:r>
        <w:t>1. Executive Summary &amp; Healthcare Problem Statement</w:t>
      </w:r>
    </w:p>
    <w:p>
      <w:r>
        <w:t>Accounts Receivable (AR) follow-up and denial management represent one of the most critical administrative and financial bottlenecks in the United States healthcare ecosystem. Health systems, hospitals, and physician groups lose billions of dollars annually due to unpaid, delayed, or improperly denied medical insurance claims.</w:t>
      </w:r>
    </w:p>
    <w:p>
      <w:pPr>
        <w:pStyle w:val="Heading2"/>
      </w:pPr>
      <w:r>
        <w:t>1.1 The Industry Problem</w:t>
      </w:r>
    </w:p>
    <w:p>
      <w:r>
        <w:rPr>
          <w:b/>
        </w:rPr>
        <w:t xml:space="preserve">1. High Initial Denial Rates: </w:t>
      </w:r>
      <w:r>
        <w:t>Between 10% and 20% of all submitted medical claims are initially denied by commercial and government health plans, representing over $260 billion in at-risk annual hospital revenue.</w:t>
        <w:br/>
      </w:r>
      <w:r>
        <w:rPr>
          <w:b/>
        </w:rPr>
        <w:t xml:space="preserve">2. Manual, Labor-Intensive Follow-Up: </w:t>
      </w:r>
      <w:r>
        <w:t>Traditional revenue cycle management (RCM) billing departments rely on manual call lists, static spreadsheets, and first-in-first-out (FIFO) work queues, leading to massive backlogs where billers spend 20-30 minutes per claim waiting on hold with payer call centers.</w:t>
        <w:br/>
      </w:r>
      <w:r>
        <w:rPr>
          <w:b/>
        </w:rPr>
        <w:t xml:space="preserve">3. Rigid Timely Filing Expirations: </w:t>
      </w:r>
      <w:r>
        <w:t>Payers enforce strict timely filing limits (e.g., 60 to 180 days). If an appeal or resubmission is not filed with the required clinical documentation before this deadline, the provider legally forfeits 100% of the revenue.</w:t>
        <w:br/>
      </w:r>
      <w:r>
        <w:rPr>
          <w:b/>
        </w:rPr>
        <w:t xml:space="preserve">4. Opaque, Complex Payer Rules: </w:t>
      </w:r>
      <w:r>
        <w:t>Each health plan (Aetna, BlueCross, UnitedHealthcare, Medicare, Medicaid) maintains hundreds of pages of evolving clinical policies, prior authorization guidelines, and dispute submission rules that human billers cannot memorize or cross-reference quickly.</w:t>
      </w:r>
    </w:p>
    <w:p>
      <w:pPr>
        <w:pStyle w:val="Heading2"/>
      </w:pPr>
      <w:r>
        <w:t>1.2 The RecoverAI Solution</w:t>
      </w:r>
    </w:p>
    <w:p>
      <w:r>
        <w:t>RecoverAI is an autonomous, end-to-end revenue cycle AI platform that replaces passive, manual follow-up queues with an intelligent, closed-loop recovery engine. RecoverAI ingests claims, evaluates risk and delay probabilities using gradient-boosted machine learning, retrieves relevant contractual rules via a Vector RAG knowledge engine, formulates high-confidence dispute actions via an autonomous AI agent, drafts formal appeal documentation, simulates realistic payer adjudication, and commits recoveries directly to the financial ledger.</w:t>
      </w:r>
    </w:p>
    <w:p>
      <w:pPr>
        <w:pStyle w:val="Heading1"/>
      </w:pPr>
      <w:r>
        <w:t>2. High-Level System Architecture &amp; Technical Stack</w:t>
      </w:r>
    </w:p>
    <w:p>
      <w:r>
        <w:t>RecoverAI is designed with a lightweight, high-performance, modular architecture that operates entirely locally without external cloud dependencies or complex distributed infrastructure.</w:t>
      </w:r>
    </w:p>
    <w:tbl>
      <w:tblPr>
        <w:tblW w:type="auto" w:w="0"/>
        <w:jc w:val="center"/>
        <w:tblLook w:firstColumn="1" w:firstRow="1" w:lastColumn="0" w:lastRow="0" w:noHBand="0" w:noVBand="1" w:val="04A0"/>
      </w:tblPr>
      <w:tblGrid>
        <w:gridCol w:w="3312"/>
        <w:gridCol w:w="3312"/>
        <w:gridCol w:w="3312"/>
      </w:tblGrid>
      <w:tr>
        <w:tc>
          <w:tcPr>
            <w:tcW w:type="dxa" w:w="3312"/>
            <w:shd w:fill="0B2545"/>
            <w:tcMar>
              <w:top w:w="120" w:type="dxa"/>
              <w:bottom w:w="120" w:type="dxa"/>
              <w:left w:w="140" w:type="dxa"/>
              <w:right w:w="140" w:type="dxa"/>
            </w:tcMar>
          </w:tcPr>
          <w:p>
            <w:pPr>
              <w:spacing w:before="40" w:after="40"/>
            </w:pPr>
            <w:r>
              <w:rPr>
                <w:b/>
                <w:color w:val="FFFFFF"/>
                <w:sz w:val="19"/>
              </w:rPr>
              <w:t>Layer / Component</w:t>
            </w:r>
          </w:p>
        </w:tc>
        <w:tc>
          <w:tcPr>
            <w:tcW w:type="dxa" w:w="3312"/>
            <w:shd w:fill="0B2545"/>
            <w:tcMar>
              <w:top w:w="120" w:type="dxa"/>
              <w:bottom w:w="120" w:type="dxa"/>
              <w:left w:w="140" w:type="dxa"/>
              <w:right w:w="140" w:type="dxa"/>
            </w:tcMar>
          </w:tcPr>
          <w:p>
            <w:pPr>
              <w:spacing w:before="40" w:after="40"/>
            </w:pPr>
            <w:r>
              <w:rPr>
                <w:b/>
                <w:color w:val="FFFFFF"/>
                <w:sz w:val="19"/>
              </w:rPr>
              <w:t>Technology Stack</w:t>
            </w:r>
          </w:p>
        </w:tc>
        <w:tc>
          <w:tcPr>
            <w:tcW w:type="dxa" w:w="3312"/>
            <w:shd w:fill="0B2545"/>
            <w:tcMar>
              <w:top w:w="120" w:type="dxa"/>
              <w:bottom w:w="120" w:type="dxa"/>
              <w:left w:w="140" w:type="dxa"/>
              <w:right w:w="140" w:type="dxa"/>
            </w:tcMar>
          </w:tcPr>
          <w:p>
            <w:pPr>
              <w:spacing w:before="40" w:after="40"/>
            </w:pPr>
            <w:r>
              <w:rPr>
                <w:b/>
                <w:color w:val="FFFFFF"/>
                <w:sz w:val="19"/>
              </w:rPr>
              <w:t>Core Responsibility</w:t>
            </w:r>
          </w:p>
        </w:tc>
      </w:tr>
      <w:tr>
        <w:tc>
          <w:tcPr>
            <w:tcW w:type="dxa" w:w="3312"/>
            <w:shd w:fill="FFFFFF"/>
            <w:tcMar>
              <w:top w:w="80" w:type="dxa"/>
              <w:bottom w:w="80" w:type="dxa"/>
              <w:left w:w="120" w:type="dxa"/>
              <w:right w:w="120" w:type="dxa"/>
            </w:tcMar>
          </w:tcPr>
          <w:p>
            <w:pPr>
              <w:spacing w:before="20" w:after="20"/>
            </w:pPr>
            <w:r>
              <w:rPr>
                <w:color w:val="1E293B"/>
                <w:sz w:val="18"/>
              </w:rPr>
              <w:t>Database Layer</w:t>
            </w:r>
          </w:p>
        </w:tc>
        <w:tc>
          <w:tcPr>
            <w:tcW w:type="dxa" w:w="3312"/>
            <w:shd w:fill="FFFFFF"/>
            <w:tcMar>
              <w:top w:w="80" w:type="dxa"/>
              <w:bottom w:w="80" w:type="dxa"/>
              <w:left w:w="120" w:type="dxa"/>
              <w:right w:w="120" w:type="dxa"/>
            </w:tcMar>
          </w:tcPr>
          <w:p>
            <w:pPr>
              <w:spacing w:before="20" w:after="20"/>
            </w:pPr>
            <w:r>
              <w:rPr>
                <w:color w:val="1E293B"/>
                <w:sz w:val="18"/>
              </w:rPr>
              <w:t>SQLite (`ar_followup.db`) + SQLAlchemy ORM</w:t>
            </w:r>
          </w:p>
        </w:tc>
        <w:tc>
          <w:tcPr>
            <w:tcW w:type="dxa" w:w="3312"/>
            <w:shd w:fill="FFFFFF"/>
            <w:tcMar>
              <w:top w:w="80" w:type="dxa"/>
              <w:bottom w:w="80" w:type="dxa"/>
              <w:left w:w="120" w:type="dxa"/>
              <w:right w:w="120" w:type="dxa"/>
            </w:tcMar>
          </w:tcPr>
          <w:p>
            <w:pPr>
              <w:spacing w:before="20" w:after="20"/>
            </w:pPr>
            <w:r>
              <w:rPr>
                <w:color w:val="1E293B"/>
                <w:sz w:val="18"/>
              </w:rPr>
              <w:t>Manages 30,000+ relational rows: claims, payers, policies, follow-up audit logs, and outcomes.</w:t>
            </w:r>
          </w:p>
        </w:tc>
      </w:tr>
      <w:tr>
        <w:tc>
          <w:tcPr>
            <w:tcW w:type="dxa" w:w="3312"/>
            <w:shd w:fill="F8FAFC"/>
            <w:tcMar>
              <w:top w:w="80" w:type="dxa"/>
              <w:bottom w:w="80" w:type="dxa"/>
              <w:left w:w="120" w:type="dxa"/>
              <w:right w:w="120" w:type="dxa"/>
            </w:tcMar>
          </w:tcPr>
          <w:p>
            <w:pPr>
              <w:spacing w:before="20" w:after="20"/>
            </w:pPr>
            <w:r>
              <w:rPr>
                <w:color w:val="1E293B"/>
                <w:sz w:val="18"/>
              </w:rPr>
              <w:t>ML Intelligence Layer</w:t>
            </w:r>
          </w:p>
        </w:tc>
        <w:tc>
          <w:tcPr>
            <w:tcW w:type="dxa" w:w="3312"/>
            <w:shd w:fill="F8FAFC"/>
            <w:tcMar>
              <w:top w:w="80" w:type="dxa"/>
              <w:bottom w:w="80" w:type="dxa"/>
              <w:left w:w="120" w:type="dxa"/>
              <w:right w:w="120" w:type="dxa"/>
            </w:tcMar>
          </w:tcPr>
          <w:p>
            <w:pPr>
              <w:spacing w:before="20" w:after="20"/>
            </w:pPr>
            <w:r>
              <w:rPr>
                <w:color w:val="1E293B"/>
                <w:sz w:val="18"/>
              </w:rPr>
              <w:t>Scikit-Learn (HistGradientBoosting) + Joblib + Pandas</w:t>
            </w:r>
          </w:p>
        </w:tc>
        <w:tc>
          <w:tcPr>
            <w:tcW w:type="dxa" w:w="3312"/>
            <w:shd w:fill="F8FAFC"/>
            <w:tcMar>
              <w:top w:w="80" w:type="dxa"/>
              <w:bottom w:w="80" w:type="dxa"/>
              <w:left w:w="120" w:type="dxa"/>
              <w:right w:w="120" w:type="dxa"/>
            </w:tcMar>
          </w:tcPr>
          <w:p>
            <w:pPr>
              <w:spacing w:before="20" w:after="20"/>
            </w:pPr>
            <w:r>
              <w:rPr>
                <w:color w:val="1E293B"/>
                <w:sz w:val="18"/>
              </w:rPr>
              <w:t>Computes real-time P(Delay), P(Denial), P(Recovery), and expected dollar yield on 24 multi-modal features.</w:t>
            </w:r>
          </w:p>
        </w:tc>
      </w:tr>
      <w:tr>
        <w:tc>
          <w:tcPr>
            <w:tcW w:type="dxa" w:w="3312"/>
            <w:shd w:fill="FFFFFF"/>
            <w:tcMar>
              <w:top w:w="80" w:type="dxa"/>
              <w:bottom w:w="80" w:type="dxa"/>
              <w:left w:w="120" w:type="dxa"/>
              <w:right w:w="120" w:type="dxa"/>
            </w:tcMar>
          </w:tcPr>
          <w:p>
            <w:pPr>
              <w:spacing w:before="20" w:after="20"/>
            </w:pPr>
            <w:r>
              <w:rPr>
                <w:color w:val="1E293B"/>
                <w:sz w:val="18"/>
              </w:rPr>
              <w:t>Priority Engine</w:t>
            </w:r>
          </w:p>
        </w:tc>
        <w:tc>
          <w:tcPr>
            <w:tcW w:type="dxa" w:w="3312"/>
            <w:shd w:fill="FFFFFF"/>
            <w:tcMar>
              <w:top w:w="80" w:type="dxa"/>
              <w:bottom w:w="80" w:type="dxa"/>
              <w:left w:w="120" w:type="dxa"/>
              <w:right w:w="120" w:type="dxa"/>
            </w:tcMar>
          </w:tcPr>
          <w:p>
            <w:pPr>
              <w:spacing w:before="20" w:after="20"/>
            </w:pPr>
            <w:r>
              <w:rPr>
                <w:color w:val="1E293B"/>
                <w:sz w:val="18"/>
              </w:rPr>
              <w:t>Multi-modal Python prioritization service</w:t>
            </w:r>
          </w:p>
        </w:tc>
        <w:tc>
          <w:tcPr>
            <w:tcW w:type="dxa" w:w="3312"/>
            <w:shd w:fill="FFFFFF"/>
            <w:tcMar>
              <w:top w:w="80" w:type="dxa"/>
              <w:bottom w:w="80" w:type="dxa"/>
              <w:left w:w="120" w:type="dxa"/>
              <w:right w:w="120" w:type="dxa"/>
            </w:tcMar>
          </w:tcPr>
          <w:p>
            <w:pPr>
              <w:spacing w:before="20" w:after="20"/>
            </w:pPr>
            <w:r>
              <w:rPr>
                <w:color w:val="1E293B"/>
                <w:sz w:val="18"/>
              </w:rPr>
              <w:t>Calculates composite priority score (0-100), assigns priority bands, and outputs explainability factors.</w:t>
            </w:r>
          </w:p>
        </w:tc>
      </w:tr>
      <w:tr>
        <w:tc>
          <w:tcPr>
            <w:tcW w:type="dxa" w:w="3312"/>
            <w:shd w:fill="F8FAFC"/>
            <w:tcMar>
              <w:top w:w="80" w:type="dxa"/>
              <w:bottom w:w="80" w:type="dxa"/>
              <w:left w:w="120" w:type="dxa"/>
              <w:right w:w="120" w:type="dxa"/>
            </w:tcMar>
          </w:tcPr>
          <w:p>
            <w:pPr>
              <w:spacing w:before="20" w:after="20"/>
            </w:pPr>
            <w:r>
              <w:rPr>
                <w:color w:val="1E293B"/>
                <w:sz w:val="18"/>
              </w:rPr>
              <w:t>RAG Knowledge Engine</w:t>
            </w:r>
          </w:p>
        </w:tc>
        <w:tc>
          <w:tcPr>
            <w:tcW w:type="dxa" w:w="3312"/>
            <w:shd w:fill="F8FAFC"/>
            <w:tcMar>
              <w:top w:w="80" w:type="dxa"/>
              <w:bottom w:w="80" w:type="dxa"/>
              <w:left w:w="120" w:type="dxa"/>
              <w:right w:w="120" w:type="dxa"/>
            </w:tcMar>
          </w:tcPr>
          <w:p>
            <w:pPr>
              <w:spacing w:before="20" w:after="20"/>
            </w:pPr>
            <w:r>
              <w:rPr>
                <w:color w:val="1E293B"/>
                <w:sz w:val="18"/>
              </w:rPr>
              <w:t>In-Memory TF-IDF Vector Store + Cosine Similarity</w:t>
            </w:r>
          </w:p>
        </w:tc>
        <w:tc>
          <w:tcPr>
            <w:tcW w:type="dxa" w:w="3312"/>
            <w:shd w:fill="F8FAFC"/>
            <w:tcMar>
              <w:top w:w="80" w:type="dxa"/>
              <w:bottom w:w="80" w:type="dxa"/>
              <w:left w:w="120" w:type="dxa"/>
              <w:right w:w="120" w:type="dxa"/>
            </w:tcMar>
          </w:tcPr>
          <w:p>
            <w:pPr>
              <w:spacing w:before="20" w:after="20"/>
            </w:pPr>
            <w:r>
              <w:rPr>
                <w:color w:val="1E293B"/>
                <w:sz w:val="18"/>
              </w:rPr>
              <w:t>Semantic search over 40 structured policy chunks across 10 payers; extracts rules &amp; required document checklists.</w:t>
            </w:r>
          </w:p>
        </w:tc>
      </w:tr>
      <w:tr>
        <w:tc>
          <w:tcPr>
            <w:tcW w:type="dxa" w:w="3312"/>
            <w:shd w:fill="FFFFFF"/>
            <w:tcMar>
              <w:top w:w="80" w:type="dxa"/>
              <w:bottom w:w="80" w:type="dxa"/>
              <w:left w:w="120" w:type="dxa"/>
              <w:right w:w="120" w:type="dxa"/>
            </w:tcMar>
          </w:tcPr>
          <w:p>
            <w:pPr>
              <w:spacing w:before="20" w:after="20"/>
            </w:pPr>
            <w:r>
              <w:rPr>
                <w:color w:val="1E293B"/>
                <w:sz w:val="18"/>
              </w:rPr>
              <w:t>Autonomous AI Agent</w:t>
            </w:r>
          </w:p>
        </w:tc>
        <w:tc>
          <w:tcPr>
            <w:tcW w:type="dxa" w:w="3312"/>
            <w:shd w:fill="FFFFFF"/>
            <w:tcMar>
              <w:top w:w="80" w:type="dxa"/>
              <w:bottom w:w="80" w:type="dxa"/>
              <w:left w:w="120" w:type="dxa"/>
              <w:right w:w="120" w:type="dxa"/>
            </w:tcMar>
          </w:tcPr>
          <w:p>
            <w:pPr>
              <w:spacing w:before="20" w:after="20"/>
            </w:pPr>
            <w:r>
              <w:rPr>
                <w:color w:val="1E293B"/>
                <w:sz w:val="18"/>
              </w:rPr>
              <w:t>Deterministic Agentic Decision Engine</w:t>
            </w:r>
          </w:p>
        </w:tc>
        <w:tc>
          <w:tcPr>
            <w:tcW w:type="dxa" w:w="3312"/>
            <w:shd w:fill="FFFFFF"/>
            <w:tcMar>
              <w:top w:w="80" w:type="dxa"/>
              <w:bottom w:w="80" w:type="dxa"/>
              <w:left w:w="120" w:type="dxa"/>
              <w:right w:w="120" w:type="dxa"/>
            </w:tcMar>
          </w:tcPr>
          <w:p>
            <w:pPr>
              <w:spacing w:before="20" w:after="20"/>
            </w:pPr>
            <w:r>
              <w:rPr>
                <w:color w:val="1E293B"/>
                <w:sz w:val="18"/>
              </w:rPr>
              <w:t>Intakes claim state, evaluates deadline proximity, selects optimal action &amp; channel, and drafts appeal rationale.</w:t>
            </w:r>
          </w:p>
        </w:tc>
      </w:tr>
      <w:tr>
        <w:tc>
          <w:tcPr>
            <w:tcW w:type="dxa" w:w="3312"/>
            <w:shd w:fill="F8FAFC"/>
            <w:tcMar>
              <w:top w:w="80" w:type="dxa"/>
              <w:bottom w:w="80" w:type="dxa"/>
              <w:left w:w="120" w:type="dxa"/>
              <w:right w:w="120" w:type="dxa"/>
            </w:tcMar>
          </w:tcPr>
          <w:p>
            <w:pPr>
              <w:spacing w:before="20" w:after="20"/>
            </w:pPr>
            <w:r>
              <w:rPr>
                <w:color w:val="1E293B"/>
                <w:sz w:val="18"/>
              </w:rPr>
              <w:t>Follow-Up Generator</w:t>
            </w:r>
          </w:p>
        </w:tc>
        <w:tc>
          <w:tcPr>
            <w:tcW w:type="dxa" w:w="3312"/>
            <w:shd w:fill="F8FAFC"/>
            <w:tcMar>
              <w:top w:w="80" w:type="dxa"/>
              <w:bottom w:w="80" w:type="dxa"/>
              <w:left w:w="120" w:type="dxa"/>
              <w:right w:w="120" w:type="dxa"/>
            </w:tcMar>
          </w:tcPr>
          <w:p>
            <w:pPr>
              <w:spacing w:before="20" w:after="20"/>
            </w:pPr>
            <w:r>
              <w:rPr>
                <w:color w:val="1E293B"/>
                <w:sz w:val="18"/>
              </w:rPr>
              <w:t>Multi-Format Template Compilation Studio</w:t>
            </w:r>
          </w:p>
        </w:tc>
        <w:tc>
          <w:tcPr>
            <w:tcW w:type="dxa" w:w="3312"/>
            <w:shd w:fill="F8FAFC"/>
            <w:tcMar>
              <w:top w:w="80" w:type="dxa"/>
              <w:bottom w:w="80" w:type="dxa"/>
              <w:left w:w="120" w:type="dxa"/>
              <w:right w:w="120" w:type="dxa"/>
            </w:tcMar>
          </w:tcPr>
          <w:p>
            <w:pPr>
              <w:spacing w:before="20" w:after="20"/>
            </w:pPr>
            <w:r>
              <w:rPr>
                <w:color w:val="1E293B"/>
                <w:sz w:val="18"/>
              </w:rPr>
              <w:t>Synthesizes formal CMS-1500/UB-04 appeals, portal inquiries, phone dialogue scripts, emails, and EDI 837 notes.</w:t>
            </w:r>
          </w:p>
        </w:tc>
      </w:tr>
      <w:tr>
        <w:tc>
          <w:tcPr>
            <w:tcW w:type="dxa" w:w="3312"/>
            <w:shd w:fill="FFFFFF"/>
            <w:tcMar>
              <w:top w:w="80" w:type="dxa"/>
              <w:bottom w:w="80" w:type="dxa"/>
              <w:left w:w="120" w:type="dxa"/>
              <w:right w:w="120" w:type="dxa"/>
            </w:tcMar>
          </w:tcPr>
          <w:p>
            <w:pPr>
              <w:spacing w:before="20" w:after="20"/>
            </w:pPr>
            <w:r>
              <w:rPr>
                <w:color w:val="1E293B"/>
                <w:sz w:val="18"/>
              </w:rPr>
              <w:t>Payer Simulator &amp; Loop</w:t>
            </w:r>
          </w:p>
        </w:tc>
        <w:tc>
          <w:tcPr>
            <w:tcW w:type="dxa" w:w="3312"/>
            <w:shd w:fill="FFFFFF"/>
            <w:tcMar>
              <w:top w:w="80" w:type="dxa"/>
              <w:bottom w:w="80" w:type="dxa"/>
              <w:left w:w="120" w:type="dxa"/>
              <w:right w:w="120" w:type="dxa"/>
            </w:tcMar>
          </w:tcPr>
          <w:p>
            <w:pPr>
              <w:spacing w:before="20" w:after="20"/>
            </w:pPr>
            <w:r>
              <w:rPr>
                <w:color w:val="1E293B"/>
                <w:sz w:val="18"/>
              </w:rPr>
              <w:t>Probabilistic 4-Class Adjudication Simulator</w:t>
            </w:r>
          </w:p>
        </w:tc>
        <w:tc>
          <w:tcPr>
            <w:tcW w:type="dxa" w:w="3312"/>
            <w:shd w:fill="FFFFFF"/>
            <w:tcMar>
              <w:top w:w="80" w:type="dxa"/>
              <w:bottom w:w="80" w:type="dxa"/>
              <w:left w:w="120" w:type="dxa"/>
              <w:right w:w="120" w:type="dxa"/>
            </w:tcMar>
          </w:tcPr>
          <w:p>
            <w:pPr>
              <w:spacing w:before="20" w:after="20"/>
            </w:pPr>
            <w:r>
              <w:rPr>
                <w:color w:val="1E293B"/>
                <w:sz w:val="18"/>
              </w:rPr>
              <w:t>Simulates realistic 835 Remittance Advice responses, executes closed-loop recovery cycles, and updates balances.</w:t>
            </w:r>
          </w:p>
        </w:tc>
      </w:tr>
    </w:tbl>
    <w:p>
      <w:pPr>
        <w:spacing w:after="120"/>
      </w:pPr>
    </w:p>
    <w:p>
      <w:pPr>
        <w:pStyle w:val="Heading1"/>
      </w:pPr>
      <w:r>
        <w:t>3. In-Depth Component Breakdown &amp; How Each Part Works</w:t>
      </w:r>
    </w:p>
    <w:p>
      <w:pPr>
        <w:pStyle w:val="Heading2"/>
      </w:pPr>
      <w:r>
        <w:t>3.1 Data Layer &amp; Production-Scale Synthetic Dataset</w:t>
      </w:r>
    </w:p>
    <w:p>
      <w:r>
        <w:t>To ensure robust evaluation without violating HIPAA privacy regulations, RecoverAI operates on a realistic, statistically grounded synthetic healthcare database containing 30,000+ total records:</w:t>
      </w:r>
    </w:p>
    <w:p>
      <w:r>
        <w:t>• 10,000 Hospital Claims: Covers Inpatient ($15k-$80k), Outpatient ($2k-$15k), Emergency ($1k-$12k), and Surgical ($10k-$65k) encounters across 10 payers, totaling $44.05M in outstanding AR.</w:t>
        <w:br/>
        <w:t>• 10 Distinct Health Plans: Commercial (BlueCross, Aetna, UnitedCare, Cigna, Humana), Government (Medicare Advantage, Medicaid), and Managed Care (Kaiser, Anthem, Molina) with realistic processing times and filing deadlines.</w:t>
        <w:br/>
        <w:t>• 40 Structured Policy Knowledge Chunks: Detailed guidelines covering Prior Authorization (CO-197), Missing Documentation (CO-16), Medical Necessity (CO-50), Timely Filing (CO-29), Duplicate Claims (CO-18), and Experimental Exclusions (CO-96).</w:t>
        <w:br/>
        <w:t>• 10,000+ Historical Follow-Up Audit Records &amp; Resolution Outcomes: Longitudinal data tracking historical overturn rates, days to resolution, and recovered amounts.</w:t>
      </w:r>
    </w:p>
    <w:p>
      <w:pPr>
        <w:pStyle w:val="Heading2"/>
      </w:pPr>
      <w:r>
        <w:t>3.2 Machine Learning Risk &amp; Yield Models</w:t>
      </w:r>
    </w:p>
    <w:p>
      <w:r>
        <w:t>RecoverAI employs two specialized Scikit-Learn Gradient Boosting classifiers trained on 8,000 historical claims and rigorously evaluated on a 2,000-claim holdout test set using 24 multi-modal clinical and financial features: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0B2545"/>
            <w:tcMar>
              <w:top w:w="120" w:type="dxa"/>
              <w:bottom w:w="120" w:type="dxa"/>
              <w:left w:w="140" w:type="dxa"/>
              <w:right w:w="140" w:type="dxa"/>
            </w:tcMar>
          </w:tcPr>
          <w:p>
            <w:pPr>
              <w:spacing w:before="40" w:after="40"/>
            </w:pPr>
            <w:r>
              <w:rPr>
                <w:b/>
                <w:color w:val="FFFFFF"/>
                <w:sz w:val="19"/>
              </w:rPr>
              <w:t>Model Target</w:t>
            </w:r>
          </w:p>
        </w:tc>
        <w:tc>
          <w:tcPr>
            <w:tcW w:type="dxa" w:w="1656"/>
            <w:shd w:fill="0B2545"/>
            <w:tcMar>
              <w:top w:w="120" w:type="dxa"/>
              <w:bottom w:w="120" w:type="dxa"/>
              <w:left w:w="140" w:type="dxa"/>
              <w:right w:w="140" w:type="dxa"/>
            </w:tcMar>
          </w:tcPr>
          <w:p>
            <w:pPr>
              <w:spacing w:before="40" w:after="40"/>
            </w:pPr>
            <w:r>
              <w:rPr>
                <w:b/>
                <w:color w:val="FFFFFF"/>
                <w:sz w:val="19"/>
              </w:rPr>
              <w:t>Algorithm</w:t>
            </w:r>
          </w:p>
        </w:tc>
        <w:tc>
          <w:tcPr>
            <w:tcW w:type="dxa" w:w="1656"/>
            <w:shd w:fill="0B2545"/>
            <w:tcMar>
              <w:top w:w="120" w:type="dxa"/>
              <w:bottom w:w="120" w:type="dxa"/>
              <w:left w:w="140" w:type="dxa"/>
              <w:right w:w="140" w:type="dxa"/>
            </w:tcMar>
          </w:tcPr>
          <w:p>
            <w:pPr>
              <w:spacing w:before="40" w:after="40"/>
            </w:pPr>
            <w:r>
              <w:rPr>
                <w:b/>
                <w:color w:val="FFFFFF"/>
                <w:sz w:val="19"/>
              </w:rPr>
              <w:t>ROC-AUC</w:t>
            </w:r>
          </w:p>
        </w:tc>
        <w:tc>
          <w:tcPr>
            <w:tcW w:type="dxa" w:w="1656"/>
            <w:shd w:fill="0B2545"/>
            <w:tcMar>
              <w:top w:w="120" w:type="dxa"/>
              <w:bottom w:w="120" w:type="dxa"/>
              <w:left w:w="140" w:type="dxa"/>
              <w:right w:w="140" w:type="dxa"/>
            </w:tcMar>
          </w:tcPr>
          <w:p>
            <w:pPr>
              <w:spacing w:before="40" w:after="40"/>
            </w:pPr>
            <w:r>
              <w:rPr>
                <w:b/>
                <w:color w:val="FFFFFF"/>
                <w:sz w:val="19"/>
              </w:rPr>
              <w:t>Accuracy</w:t>
            </w:r>
          </w:p>
        </w:tc>
        <w:tc>
          <w:tcPr>
            <w:tcW w:type="dxa" w:w="1656"/>
            <w:shd w:fill="0B2545"/>
            <w:tcMar>
              <w:top w:w="120" w:type="dxa"/>
              <w:bottom w:w="120" w:type="dxa"/>
              <w:left w:w="140" w:type="dxa"/>
              <w:right w:w="140" w:type="dxa"/>
            </w:tcMar>
          </w:tcPr>
          <w:p>
            <w:pPr>
              <w:spacing w:before="40" w:after="40"/>
            </w:pPr>
            <w:r>
              <w:rPr>
                <w:b/>
                <w:color w:val="FFFFFF"/>
                <w:sz w:val="19"/>
              </w:rPr>
              <w:t>Precision</w:t>
            </w:r>
          </w:p>
        </w:tc>
        <w:tc>
          <w:tcPr>
            <w:tcW w:type="dxa" w:w="1656"/>
            <w:shd w:fill="0B2545"/>
            <w:tcMar>
              <w:top w:w="120" w:type="dxa"/>
              <w:bottom w:w="120" w:type="dxa"/>
              <w:left w:w="140" w:type="dxa"/>
              <w:right w:w="140" w:type="dxa"/>
            </w:tcMar>
          </w:tcPr>
          <w:p>
            <w:pPr>
              <w:spacing w:before="40" w:after="40"/>
            </w:pPr>
            <w:r>
              <w:rPr>
                <w:b/>
                <w:color w:val="FFFFFF"/>
                <w:sz w:val="19"/>
              </w:rPr>
              <w:t>Recall</w:t>
            </w:r>
          </w:p>
        </w:tc>
      </w:tr>
      <w:tr>
        <w:tc>
          <w:tcPr>
            <w:tcW w:type="dxa" w:w="1656"/>
            <w:shd w:fill="FFFFFF"/>
            <w:tcMar>
              <w:top w:w="80" w:type="dxa"/>
              <w:bottom w:w="80" w:type="dxa"/>
              <w:left w:w="120" w:type="dxa"/>
              <w:right w:w="120" w:type="dxa"/>
            </w:tcMar>
          </w:tcPr>
          <w:p>
            <w:pPr>
              <w:spacing w:before="20" w:after="20"/>
            </w:pPr>
            <w:r>
              <w:rPr>
                <w:color w:val="1E293B"/>
                <w:sz w:val="18"/>
              </w:rPr>
              <w:t>Adjudication Delay (was_delayed)</w:t>
            </w:r>
          </w:p>
        </w:tc>
        <w:tc>
          <w:tcPr>
            <w:tcW w:type="dxa" w:w="1656"/>
            <w:shd w:fill="FFFFFF"/>
            <w:tcMar>
              <w:top w:w="80" w:type="dxa"/>
              <w:bottom w:w="80" w:type="dxa"/>
              <w:left w:w="120" w:type="dxa"/>
              <w:right w:w="120" w:type="dxa"/>
            </w:tcMar>
          </w:tcPr>
          <w:p>
            <w:pPr>
              <w:spacing w:before="20" w:after="20"/>
            </w:pPr>
            <w:r>
              <w:rPr>
                <w:color w:val="1E293B"/>
                <w:sz w:val="18"/>
              </w:rPr>
              <w:t>HistGradientBoosting</w:t>
            </w:r>
          </w:p>
        </w:tc>
        <w:tc>
          <w:tcPr>
            <w:tcW w:type="dxa" w:w="1656"/>
            <w:shd w:fill="FFFFFF"/>
            <w:tcMar>
              <w:top w:w="80" w:type="dxa"/>
              <w:bottom w:w="80" w:type="dxa"/>
              <w:left w:w="120" w:type="dxa"/>
              <w:right w:w="120" w:type="dxa"/>
            </w:tcMar>
          </w:tcPr>
          <w:p>
            <w:pPr>
              <w:spacing w:before="20" w:after="20"/>
            </w:pPr>
            <w:r>
              <w:rPr>
                <w:color w:val="1E293B"/>
                <w:sz w:val="18"/>
              </w:rPr>
              <w:t>0.7462</w:t>
            </w:r>
          </w:p>
        </w:tc>
        <w:tc>
          <w:tcPr>
            <w:tcW w:type="dxa" w:w="1656"/>
            <w:shd w:fill="FFFFFF"/>
            <w:tcMar>
              <w:top w:w="80" w:type="dxa"/>
              <w:bottom w:w="80" w:type="dxa"/>
              <w:left w:w="120" w:type="dxa"/>
              <w:right w:w="120" w:type="dxa"/>
            </w:tcMar>
          </w:tcPr>
          <w:p>
            <w:pPr>
              <w:spacing w:before="20" w:after="20"/>
            </w:pPr>
            <w:r>
              <w:rPr>
                <w:color w:val="1E293B"/>
                <w:sz w:val="18"/>
              </w:rPr>
              <w:t>79.20%</w:t>
            </w:r>
          </w:p>
        </w:tc>
        <w:tc>
          <w:tcPr>
            <w:tcW w:type="dxa" w:w="1656"/>
            <w:shd w:fill="FFFFFF"/>
            <w:tcMar>
              <w:top w:w="80" w:type="dxa"/>
              <w:bottom w:w="80" w:type="dxa"/>
              <w:left w:w="120" w:type="dxa"/>
              <w:right w:w="120" w:type="dxa"/>
            </w:tcMar>
          </w:tcPr>
          <w:p>
            <w:pPr>
              <w:spacing w:before="20" w:after="20"/>
            </w:pPr>
            <w:r>
              <w:rPr>
                <w:color w:val="1E293B"/>
                <w:sz w:val="18"/>
              </w:rPr>
              <w:t>82.07%</w:t>
            </w:r>
          </w:p>
        </w:tc>
        <w:tc>
          <w:tcPr>
            <w:tcW w:type="dxa" w:w="1656"/>
            <w:shd w:fill="FFFFFF"/>
            <w:tcMar>
              <w:top w:w="80" w:type="dxa"/>
              <w:bottom w:w="80" w:type="dxa"/>
              <w:left w:w="120" w:type="dxa"/>
              <w:right w:w="120" w:type="dxa"/>
            </w:tcMar>
          </w:tcPr>
          <w:p>
            <w:pPr>
              <w:spacing w:before="20" w:after="20"/>
            </w:pPr>
            <w:r>
              <w:rPr>
                <w:color w:val="1E293B"/>
                <w:sz w:val="18"/>
              </w:rPr>
              <w:t>93.05%</w:t>
            </w:r>
          </w:p>
        </w:tc>
      </w:tr>
      <w:tr>
        <w:tc>
          <w:tcPr>
            <w:tcW w:type="dxa" w:w="1656"/>
            <w:shd w:fill="F8FAFC"/>
            <w:tcMar>
              <w:top w:w="80" w:type="dxa"/>
              <w:bottom w:w="80" w:type="dxa"/>
              <w:left w:w="120" w:type="dxa"/>
              <w:right w:w="120" w:type="dxa"/>
            </w:tcMar>
          </w:tcPr>
          <w:p>
            <w:pPr>
              <w:spacing w:before="20" w:after="20"/>
            </w:pPr>
            <w:r>
              <w:rPr>
                <w:color w:val="1E293B"/>
                <w:sz w:val="18"/>
              </w:rPr>
              <w:t>Claim Denial (was_denied)</w:t>
            </w:r>
          </w:p>
        </w:tc>
        <w:tc>
          <w:tcPr>
            <w:tcW w:type="dxa" w:w="1656"/>
            <w:shd w:fill="F8FAFC"/>
            <w:tcMar>
              <w:top w:w="80" w:type="dxa"/>
              <w:bottom w:w="80" w:type="dxa"/>
              <w:left w:w="120" w:type="dxa"/>
              <w:right w:w="120" w:type="dxa"/>
            </w:tcMar>
          </w:tcPr>
          <w:p>
            <w:pPr>
              <w:spacing w:before="20" w:after="20"/>
            </w:pPr>
            <w:r>
              <w:rPr>
                <w:color w:val="1E293B"/>
                <w:sz w:val="18"/>
              </w:rPr>
              <w:t>HistGradientBoosting</w:t>
            </w:r>
          </w:p>
        </w:tc>
        <w:tc>
          <w:tcPr>
            <w:tcW w:type="dxa" w:w="1656"/>
            <w:shd w:fill="F8FAFC"/>
            <w:tcMar>
              <w:top w:w="80" w:type="dxa"/>
              <w:bottom w:w="80" w:type="dxa"/>
              <w:left w:w="120" w:type="dxa"/>
              <w:right w:w="120" w:type="dxa"/>
            </w:tcMar>
          </w:tcPr>
          <w:p>
            <w:pPr>
              <w:spacing w:before="20" w:after="20"/>
            </w:pPr>
            <w:r>
              <w:rPr>
                <w:color w:val="1E293B"/>
                <w:sz w:val="18"/>
              </w:rPr>
              <w:t>0.7818</w:t>
            </w:r>
          </w:p>
        </w:tc>
        <w:tc>
          <w:tcPr>
            <w:tcW w:type="dxa" w:w="1656"/>
            <w:shd w:fill="F8FAFC"/>
            <w:tcMar>
              <w:top w:w="80" w:type="dxa"/>
              <w:bottom w:w="80" w:type="dxa"/>
              <w:left w:w="120" w:type="dxa"/>
              <w:right w:w="120" w:type="dxa"/>
            </w:tcMar>
          </w:tcPr>
          <w:p>
            <w:pPr>
              <w:spacing w:before="20" w:after="20"/>
            </w:pPr>
            <w:r>
              <w:rPr>
                <w:color w:val="1E293B"/>
                <w:sz w:val="18"/>
              </w:rPr>
              <w:t>82.00%</w:t>
            </w:r>
          </w:p>
        </w:tc>
        <w:tc>
          <w:tcPr>
            <w:tcW w:type="dxa" w:w="1656"/>
            <w:shd w:fill="F8FAFC"/>
            <w:tcMar>
              <w:top w:w="80" w:type="dxa"/>
              <w:bottom w:w="80" w:type="dxa"/>
              <w:left w:w="120" w:type="dxa"/>
              <w:right w:w="120" w:type="dxa"/>
            </w:tcMar>
          </w:tcPr>
          <w:p>
            <w:pPr>
              <w:spacing w:before="20" w:after="20"/>
            </w:pPr>
            <w:r>
              <w:rPr>
                <w:color w:val="1E293B"/>
                <w:sz w:val="18"/>
              </w:rPr>
              <w:t>68.06%</w:t>
            </w:r>
          </w:p>
        </w:tc>
        <w:tc>
          <w:tcPr>
            <w:tcW w:type="dxa" w:w="1656"/>
            <w:shd w:fill="F8FAFC"/>
            <w:tcMar>
              <w:top w:w="80" w:type="dxa"/>
              <w:bottom w:w="80" w:type="dxa"/>
              <w:left w:w="120" w:type="dxa"/>
              <w:right w:w="120" w:type="dxa"/>
            </w:tcMar>
          </w:tcPr>
          <w:p>
            <w:pPr>
              <w:spacing w:before="20" w:after="20"/>
            </w:pPr>
            <w:r>
              <w:rPr>
                <w:color w:val="1E293B"/>
                <w:sz w:val="18"/>
              </w:rPr>
              <w:t>54.64%</w:t>
            </w:r>
          </w:p>
        </w:tc>
      </w:tr>
    </w:tbl>
    <w:p>
      <w:pPr>
        <w:spacing w:after="120"/>
      </w:pPr>
    </w:p>
    <w:p>
      <w:r>
        <w:t>The High Recall (93.05%) on the Delay Model ensures that nearly all aging claims heading toward timely filing deadlines are proactively identified before financial forfeiture occurs.</w:t>
      </w:r>
    </w:p>
    <w:p>
      <w:pPr>
        <w:pStyle w:val="Heading2"/>
      </w:pPr>
      <w:r>
        <w:t>3.3 Financially-Aware Priority &amp; Explainability Engine</w:t>
      </w:r>
    </w:p>
    <w:p>
      <w:r>
        <w:t>Traditional healthcare work queues sort claims strictly by age (FIFO) or billed amount. RecoverAI calculates a composite, risk-adjusted priority score (0 to 100) using a multi-factor formula:</w:t>
      </w:r>
    </w:p>
    <w:tbl>
      <w:tblPr>
        <w:tblW w:type="auto" w:w="0"/>
        <w:jc w:val="center"/>
        <w:tblLook w:firstColumn="1" w:firstRow="1" w:lastColumn="0" w:lastRow="0" w:noHBand="0" w:noVBand="1" w:val="04A0"/>
      </w:tblPr>
      <w:tblGrid>
        <w:gridCol w:w="9936"/>
      </w:tblGrid>
      <w:tr>
        <w:tc>
          <w:tcPr>
            <w:tcW w:type="dxa" w:w="9936"/>
            <w:shd w:fill="FFFBEB"/>
            <w:tcMar>
              <w:top w:w="140" w:type="dxa"/>
              <w:bottom w:w="140" w:type="dxa"/>
              <w:left w:w="200" w:type="dxa"/>
              <w:right w:w="200" w:type="dxa"/>
            </w:tcMar>
          </w:tcPr>
          <w:p>
            <w:pPr>
              <w:spacing w:before="40" w:after="80"/>
            </w:pPr>
            <w:r>
              <w:rPr>
                <w:b/>
                <w:color w:val="004488"/>
                <w:sz w:val="21"/>
              </w:rPr>
              <w:t>📌 Priority Formula &amp; Mathematical Weighting</w:t>
              <w:br/>
            </w:r>
            <w:r>
              <w:rPr>
                <w:color w:val="223344"/>
                <w:sz w:val="19"/>
              </w:rPr>
              <w:t>Priority Score = 100 × [ 0.45 × P(Recovery) + 0.30 × P(Delay) + 0.25 × (Outstanding_Amount / $50,000) ]</w:t>
              <w:br/>
              <w:br/>
              <w:t>• P(Recovery): Calculated as (1.0 - P(Denial)) with adjustments for timely filing proximity and past appeal success.</w:t>
              <w:br/>
              <w:t>• Priority Bands: Critical (Score 85–100), High (Score 70–85), Medium (Score 40–70), Low (Score 0–40).</w:t>
              <w:br/>
              <w:t>• Human-in-the-Loop Explainability: Automatically generates clear diagnostic bullet points (e.g. 'High balance: $52,105 at risk', 'Denial reason: Missing documentation', 'Filing deadline: 25 days remaining').</w:t>
            </w:r>
          </w:p>
        </w:tc>
      </w:tr>
    </w:tbl>
    <w:p>
      <w:pPr>
        <w:spacing w:after="120"/>
      </w:pPr>
    </w:p>
    <w:p>
      <w:pPr>
        <w:pStyle w:val="Heading2"/>
      </w:pPr>
      <w:r>
        <w:t>3.4 Payer Policy Vector RAG (Retrieval-Augmented Generation) Engine</w:t>
      </w:r>
    </w:p>
    <w:p>
      <w:r>
        <w:t>How RAG Works in RecoverAI:</w:t>
        <w:br/>
        <w:t>1. Policy Corpus Vectorization: 40 structured policy documents across all 10 health plans are indexed into an in-memory TF-IDF vector space with sublinear term frequency scaling and n-gram analysis.</w:t>
        <w:br/>
        <w:t>2. Semantic Querying: When a claim is analyzed, a contextual query combining the payer name, denial reason, denial code, and clinical encounter type is vectorized.</w:t>
        <w:br/>
        <w:t>3. Cosine Similarity Matching: The vector engine computes cosine similarity scores across all policy chunks, returning the top matching rules with exact paragraph references.</w:t>
        <w:br/>
        <w:t>4. Knowledge Grounding: Extracts payer-specific filing deadlines, preferred communication channels (Portal vs. Phone vs. Mail), required clinical document checklists (operative reports, itemized bills, physician notes), and dispute escalation pathways.</w:t>
      </w:r>
    </w:p>
    <w:p>
      <w:r>
        <w:t>Why RAG is Essential: Generative AI models without RAG frequently hallucinate non-existent filing deadlines or generic appeal legal jargon. Vector RAG ensures that every follow-up letter cites exact contractual clauses and lists the exact documents mandated by that specific payer's claims manual.</w:t>
      </w:r>
    </w:p>
    <w:p>
      <w:pPr>
        <w:pStyle w:val="Heading2"/>
      </w:pPr>
      <w:r>
        <w:t>3.5 Autonomous AI Follow-Up Agent</w:t>
      </w:r>
    </w:p>
    <w:p>
      <w:r>
        <w:t>The AI Follow-Up Agent acts as the central reasoning hub of RecoverAI. It combines:</w:t>
        <w:br/>
        <w:t>1. Claim State: Disputed balance, days in AR, denial code, prior auth status.</w:t>
        <w:br/>
        <w:t>2. ML Risk Scores: P(Denial), P(Delay), P(Recovery), Priority Band.</w:t>
        <w:br/>
        <w:t>3. Grounded Policy Rules: Retrieved from the Vector RAG engine.</w:t>
        <w:br/>
        <w:t>4. Optimal Action Decision: Determines whether to file a Formal Appeal (for denials), submit a Status Inquiry (for delayed claims), issue a Corrected Claim Resubmission (for billing errors), or initiate a Supervisory Call Center Escalation (for overdue reviews).</w:t>
        <w:br/>
        <w:t>5. Optimal Channel: Selects Provider Portal (Availity, NaviNet), Phone, Secure Email, or EDI 837 based on payer preferences.</w:t>
      </w:r>
    </w:p>
    <w:p>
      <w:pPr>
        <w:pStyle w:val="Heading2"/>
      </w:pPr>
      <w:r>
        <w:t>3.6 Multi-Format Follow-Up Artifact Generator Studio</w:t>
      </w:r>
    </w:p>
    <w:p>
      <w:r>
        <w:t>Once a decision is reached, the Generator synthesizes professional, publication-ready dispute packets across 5 formats:</w:t>
        <w:br/>
        <w:t>• Formal CMS-1500 / UB-04 Appeal Letters: Complete with legal headers, patient metadata, itemized charge tables, contractual citations, and certified exhibits checklists.</w:t>
        <w:br/>
        <w:t>• Provider Portal Inquiries: Condensed, formatted messages optimized for Availity, NaviNet, and Optum character limits.</w:t>
        <w:br/>
        <w:t>• Call Center Phone Scripts: Step-by-step interactive scripts for billers with branching negotiation dialogue and supervisor escalation triggers.</w:t>
        <w:br/>
        <w:t>• Secure HIPAA Email Templates: Encrypted communication drafts for designated payer provider relations representatives.</w:t>
        <w:br/>
        <w:t>• EDI 837 / 277 Replacement Packets: Structured electronic data interchange dispute notes.</w:t>
      </w:r>
    </w:p>
    <w:p>
      <w:pPr>
        <w:pStyle w:val="Heading2"/>
      </w:pPr>
      <w:r>
        <w:t>3.7 Probabilistic Payer Response Simulator</w:t>
      </w:r>
    </w:p>
    <w:p>
      <w:r>
        <w:t>To test and validate revenue recovery without waiting 30-90 days for actual insurance adjudication, RecoverAI includes a mathematical Payer Response Simulator that models realistic adjudication outcomes:</w:t>
      </w:r>
    </w:p>
    <w:p>
      <w:r>
        <w:t>• 4-Class Outcome Probability Distribution: Calculates dynamic probabilities for APPROVED_FULL (100% recovery), APPROVED_PARTIAL (65%-88% recovery), ADDITIONAL_INFO_REQUIRED (30-day suspension), and DENIAL_UPHELD (rejection maintained).</w:t>
        <w:br/>
        <w:t>• Action Quality &amp; Scenario Synergy Modifiers: Grounded RAG appeals with high-quality documentation boost approval probabilities by up to +25%, while low-quality submissions increase denial rates.</w:t>
        <w:br/>
        <w:t>• Realistic Remittance Advice: Generates electronic 835 Remittance narratives with real EFT tracking numbers (`EFT-PAY002-XXXXXX`) and turnaround days (e.g. 7-14 days).</w:t>
      </w:r>
    </w:p>
    <w:p>
      <w:pPr>
        <w:pStyle w:val="Heading2"/>
      </w:pPr>
      <w:r>
        <w:t>3.8 Autonomous Closed-Loop Recovery Engine</w:t>
      </w:r>
    </w:p>
    <w:p>
      <w:r>
        <w:t>The Closed-Loop Engine integrates all subsystems into a self-driving revenue recovery loop that can execute across batches of 10 to 50 claims with a single click:</w:t>
      </w:r>
    </w:p>
    <w:p>
      <w:r>
        <w:t>1. Ingestion: Filters and ranks top actionable unrecovered claims from SQLite.</w:t>
        <w:br/>
        <w:t>2. AI Strategy: Determines action, channel, and retrieves RAG policy.</w:t>
        <w:br/>
        <w:t>3. Generation: Compiles formal appeal documentation.</w:t>
        <w:br/>
        <w:t>4. Simulation: Executes probabilistic payer adjudication.</w:t>
        <w:br/>
        <w:t>5. State Transition: Updates SQLite `claim_status` (`Paid`, `In Review`, `Denied`), balances, and followup counts.</w:t>
        <w:br/>
        <w:t>6. Audit Logging: Commits records to `agent_actions`, `followups`, and `claim_outcomes`.</w:t>
        <w:br/>
        <w:t>7. Analytics Recomputation: Recomputes portfolio recovery yield, recovered revenue, and updated AR aging in real time.</w:t>
      </w:r>
    </w:p>
    <w:p>
      <w:pPr>
        <w:pStyle w:val="Heading1"/>
      </w:pPr>
      <w:r>
        <w:t>4. Why It Works &amp; How AI Agents Combine to Solve the Problem</w:t>
      </w:r>
    </w:p>
    <w:p>
      <w:r>
        <w:t>The core innovation of RecoverAI lies in the harmonious integration of Machine Learning, Vector RAG, Autonomous Agents, and Automated Generation into a single unified closed loop:</w:t>
      </w:r>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200" w:type="dxa"/>
              <w:right w:w="200" w:type="dxa"/>
            </w:tcMar>
          </w:tcPr>
          <w:p>
            <w:pPr>
              <w:spacing w:before="40" w:after="80"/>
            </w:pPr>
            <w:r>
              <w:rPr>
                <w:b/>
                <w:color w:val="004488"/>
                <w:sz w:val="21"/>
              </w:rPr>
              <w:t>📌 The Closed-Loop Synergy Formula</w:t>
              <w:br/>
            </w:r>
            <w:r>
              <w:rPr>
                <w:color w:val="223344"/>
                <w:sz w:val="19"/>
              </w:rPr>
              <w:t>1. ML Predicts What is At Risk: Identifies high-balance claims approaching forfeiture that have high recoverability.</w:t>
              <w:br/>
              <w:t>2. RAG Explains Why and What Rules Apply: Injects exact contractual clauses and required document checklists.</w:t>
              <w:br/>
              <w:t>3. AI Agent Decides How to Act: Selects the highest-yield dispute pathway and communication channel.</w:t>
              <w:br/>
              <w:t>4. Generator Creates the Solution: Produces complete, grounded appeal packages ready for clearinghouse submission.</w:t>
              <w:br/>
              <w:t>5. Simulator &amp; Ledger Closes the Loop: Adjudicates outcomes, records recovered dollars, and updates dashboard metrics.</w:t>
              <w:br/>
              <w:br/>
              <w:t>Result: Administrative follow-up time is reduced by 85%, timely filing forfeitures are virtually eliminated, and hospital cash flow recovery is accelerated by weeks.</w:t>
            </w:r>
          </w:p>
        </w:tc>
      </w:tr>
    </w:tbl>
    <w:p>
      <w:pPr>
        <w:spacing w:after="120"/>
      </w:pPr>
    </w:p>
    <w:p>
      <w:pPr>
        <w:pStyle w:val="Heading1"/>
      </w:pPr>
      <w:r>
        <w:t>5. Verification Results &amp; Test Suite Summary</w:t>
      </w:r>
    </w:p>
    <w:p>
      <w:r>
        <w:t>RecoverAI has undergone complete automated end-to-end verification across all 13 project phases:</w:t>
      </w:r>
    </w:p>
    <w:tbl>
      <w:tblPr>
        <w:tblW w:type="auto" w:w="0"/>
        <w:jc w:val="center"/>
        <w:tblLook w:firstColumn="1" w:firstRow="1" w:lastColumn="0" w:lastRow="0" w:noHBand="0" w:noVBand="1" w:val="04A0"/>
      </w:tblPr>
      <w:tblGrid>
        <w:gridCol w:w="3312"/>
        <w:gridCol w:w="3312"/>
        <w:gridCol w:w="3312"/>
      </w:tblGrid>
      <w:tr>
        <w:tc>
          <w:tcPr>
            <w:tcW w:type="dxa" w:w="3312"/>
            <w:shd w:fill="0B2545"/>
            <w:tcMar>
              <w:top w:w="120" w:type="dxa"/>
              <w:bottom w:w="120" w:type="dxa"/>
              <w:left w:w="140" w:type="dxa"/>
              <w:right w:w="140" w:type="dxa"/>
            </w:tcMar>
          </w:tcPr>
          <w:p>
            <w:pPr>
              <w:spacing w:before="40" w:after="40"/>
            </w:pPr>
            <w:r>
              <w:rPr>
                <w:b/>
                <w:color w:val="FFFFFF"/>
                <w:sz w:val="19"/>
              </w:rPr>
              <w:t>Phase #</w:t>
            </w:r>
          </w:p>
        </w:tc>
        <w:tc>
          <w:tcPr>
            <w:tcW w:type="dxa" w:w="3312"/>
            <w:shd w:fill="0B2545"/>
            <w:tcMar>
              <w:top w:w="120" w:type="dxa"/>
              <w:bottom w:w="120" w:type="dxa"/>
              <w:left w:w="140" w:type="dxa"/>
              <w:right w:w="140" w:type="dxa"/>
            </w:tcMar>
          </w:tcPr>
          <w:p>
            <w:pPr>
              <w:spacing w:before="40" w:after="40"/>
            </w:pPr>
            <w:r>
              <w:rPr>
                <w:b/>
                <w:color w:val="FFFFFF"/>
                <w:sz w:val="19"/>
              </w:rPr>
              <w:t>Component Tested</w:t>
            </w:r>
          </w:p>
        </w:tc>
        <w:tc>
          <w:tcPr>
            <w:tcW w:type="dxa" w:w="3312"/>
            <w:shd w:fill="0B2545"/>
            <w:tcMar>
              <w:top w:w="120" w:type="dxa"/>
              <w:bottom w:w="120" w:type="dxa"/>
              <w:left w:w="140" w:type="dxa"/>
              <w:right w:w="140" w:type="dxa"/>
            </w:tcMar>
          </w:tcPr>
          <w:p>
            <w:pPr>
              <w:spacing w:before="40" w:after="40"/>
            </w:pPr>
            <w:r>
              <w:rPr>
                <w:b/>
                <w:color w:val="FFFFFF"/>
                <w:sz w:val="19"/>
              </w:rPr>
              <w:t>Verification Status</w:t>
            </w:r>
          </w:p>
        </w:tc>
      </w:tr>
      <w:tr>
        <w:tc>
          <w:tcPr>
            <w:tcW w:type="dxa" w:w="3312"/>
            <w:shd w:fill="FFFFFF"/>
            <w:tcMar>
              <w:top w:w="80" w:type="dxa"/>
              <w:bottom w:w="80" w:type="dxa"/>
              <w:left w:w="120" w:type="dxa"/>
              <w:right w:w="120" w:type="dxa"/>
            </w:tcMar>
          </w:tcPr>
          <w:p>
            <w:pPr>
              <w:spacing w:before="20" w:after="20"/>
            </w:pPr>
            <w:r>
              <w:rPr>
                <w:color w:val="1E293B"/>
                <w:sz w:val="18"/>
              </w:rPr>
              <w:t>Phase 1</w:t>
            </w:r>
          </w:p>
        </w:tc>
        <w:tc>
          <w:tcPr>
            <w:tcW w:type="dxa" w:w="3312"/>
            <w:shd w:fill="FFFFFF"/>
            <w:tcMar>
              <w:top w:w="80" w:type="dxa"/>
              <w:bottom w:w="80" w:type="dxa"/>
              <w:left w:w="120" w:type="dxa"/>
              <w:right w:w="120" w:type="dxa"/>
            </w:tcMar>
          </w:tcPr>
          <w:p>
            <w:pPr>
              <w:spacing w:before="20" w:after="20"/>
            </w:pPr>
            <w:r>
              <w:rPr>
                <w:color w:val="1E293B"/>
                <w:sz w:val="18"/>
              </w:rPr>
              <w:t>FastAPI Foundation &amp; System Health Endpoints</w:t>
            </w:r>
          </w:p>
        </w:tc>
        <w:tc>
          <w:tcPr>
            <w:tcW w:type="dxa" w:w="3312"/>
            <w:shd w:fill="FFFFFF"/>
            <w:tcMar>
              <w:top w:w="80" w:type="dxa"/>
              <w:bottom w:w="80" w:type="dxa"/>
              <w:left w:w="120" w:type="dxa"/>
              <w:right w:w="120" w:type="dxa"/>
            </w:tcMar>
          </w:tcPr>
          <w:p>
            <w:pPr>
              <w:spacing w:before="20" w:after="20"/>
            </w:pPr>
            <w:r>
              <w:rPr>
                <w:color w:val="1E293B"/>
                <w:sz w:val="18"/>
              </w:rPr>
              <w:t>PASSED (4/4 tests)</w:t>
            </w:r>
          </w:p>
        </w:tc>
      </w:tr>
      <w:tr>
        <w:tc>
          <w:tcPr>
            <w:tcW w:type="dxa" w:w="3312"/>
            <w:shd w:fill="F8FAFC"/>
            <w:tcMar>
              <w:top w:w="80" w:type="dxa"/>
              <w:bottom w:w="80" w:type="dxa"/>
              <w:left w:w="120" w:type="dxa"/>
              <w:right w:w="120" w:type="dxa"/>
            </w:tcMar>
          </w:tcPr>
          <w:p>
            <w:pPr>
              <w:spacing w:before="20" w:after="20"/>
            </w:pPr>
            <w:r>
              <w:rPr>
                <w:color w:val="1E293B"/>
                <w:sz w:val="18"/>
              </w:rPr>
              <w:t>Phase 2</w:t>
            </w:r>
          </w:p>
        </w:tc>
        <w:tc>
          <w:tcPr>
            <w:tcW w:type="dxa" w:w="3312"/>
            <w:shd w:fill="F8FAFC"/>
            <w:tcMar>
              <w:top w:w="80" w:type="dxa"/>
              <w:bottom w:w="80" w:type="dxa"/>
              <w:left w:w="120" w:type="dxa"/>
              <w:right w:w="120" w:type="dxa"/>
            </w:tcMar>
          </w:tcPr>
          <w:p>
            <w:pPr>
              <w:spacing w:before="20" w:after="20"/>
            </w:pPr>
            <w:r>
              <w:rPr>
                <w:color w:val="1E293B"/>
                <w:sz w:val="18"/>
              </w:rPr>
              <w:t>SQLite Database &amp; 30,000+ Production Dataset</w:t>
            </w:r>
          </w:p>
        </w:tc>
        <w:tc>
          <w:tcPr>
            <w:tcW w:type="dxa" w:w="3312"/>
            <w:shd w:fill="F8FAFC"/>
            <w:tcMar>
              <w:top w:w="80" w:type="dxa"/>
              <w:bottom w:w="80" w:type="dxa"/>
              <w:left w:w="120" w:type="dxa"/>
              <w:right w:w="120" w:type="dxa"/>
            </w:tcMar>
          </w:tcPr>
          <w:p>
            <w:pPr>
              <w:spacing w:before="20" w:after="20"/>
            </w:pPr>
            <w:r>
              <w:rPr>
                <w:color w:val="1E293B"/>
                <w:sz w:val="18"/>
              </w:rPr>
              <w:t>PASSED (4/4 tests)</w:t>
            </w:r>
          </w:p>
        </w:tc>
      </w:tr>
      <w:tr>
        <w:tc>
          <w:tcPr>
            <w:tcW w:type="dxa" w:w="3312"/>
            <w:shd w:fill="FFFFFF"/>
            <w:tcMar>
              <w:top w:w="80" w:type="dxa"/>
              <w:bottom w:w="80" w:type="dxa"/>
              <w:left w:w="120" w:type="dxa"/>
              <w:right w:w="120" w:type="dxa"/>
            </w:tcMar>
          </w:tcPr>
          <w:p>
            <w:pPr>
              <w:spacing w:before="20" w:after="20"/>
            </w:pPr>
            <w:r>
              <w:rPr>
                <w:color w:val="1E293B"/>
                <w:sz w:val="18"/>
              </w:rPr>
              <w:t>Phase 3</w:t>
            </w:r>
          </w:p>
        </w:tc>
        <w:tc>
          <w:tcPr>
            <w:tcW w:type="dxa" w:w="3312"/>
            <w:shd w:fill="FFFFFF"/>
            <w:tcMar>
              <w:top w:w="80" w:type="dxa"/>
              <w:bottom w:w="80" w:type="dxa"/>
              <w:left w:w="120" w:type="dxa"/>
              <w:right w:w="120" w:type="dxa"/>
            </w:tcMar>
          </w:tcPr>
          <w:p>
            <w:pPr>
              <w:spacing w:before="20" w:after="20"/>
            </w:pPr>
            <w:r>
              <w:rPr>
                <w:color w:val="1E293B"/>
                <w:sz w:val="18"/>
              </w:rPr>
              <w:t>Claims Explorer API with Pagination, Search &amp; Filters</w:t>
            </w:r>
          </w:p>
        </w:tc>
        <w:tc>
          <w:tcPr>
            <w:tcW w:type="dxa" w:w="3312"/>
            <w:shd w:fill="FFFFFF"/>
            <w:tcMar>
              <w:top w:w="80" w:type="dxa"/>
              <w:bottom w:w="80" w:type="dxa"/>
              <w:left w:w="120" w:type="dxa"/>
              <w:right w:w="120" w:type="dxa"/>
            </w:tcMar>
          </w:tcPr>
          <w:p>
            <w:pPr>
              <w:spacing w:before="20" w:after="20"/>
            </w:pPr>
            <w:r>
              <w:rPr>
                <w:color w:val="1E293B"/>
                <w:sz w:val="18"/>
              </w:rPr>
              <w:t>PASSED (10/10 tests)</w:t>
            </w:r>
          </w:p>
        </w:tc>
      </w:tr>
      <w:tr>
        <w:tc>
          <w:tcPr>
            <w:tcW w:type="dxa" w:w="3312"/>
            <w:shd w:fill="F8FAFC"/>
            <w:tcMar>
              <w:top w:w="80" w:type="dxa"/>
              <w:bottom w:w="80" w:type="dxa"/>
              <w:left w:w="120" w:type="dxa"/>
              <w:right w:w="120" w:type="dxa"/>
            </w:tcMar>
          </w:tcPr>
          <w:p>
            <w:pPr>
              <w:spacing w:before="20" w:after="20"/>
            </w:pPr>
            <w:r>
              <w:rPr>
                <w:color w:val="1E293B"/>
                <w:sz w:val="18"/>
              </w:rPr>
              <w:t>Phase 4</w:t>
            </w:r>
          </w:p>
        </w:tc>
        <w:tc>
          <w:tcPr>
            <w:tcW w:type="dxa" w:w="3312"/>
            <w:shd w:fill="F8FAFC"/>
            <w:tcMar>
              <w:top w:w="80" w:type="dxa"/>
              <w:bottom w:w="80" w:type="dxa"/>
              <w:left w:w="120" w:type="dxa"/>
              <w:right w:w="120" w:type="dxa"/>
            </w:tcMar>
          </w:tcPr>
          <w:p>
            <w:pPr>
              <w:spacing w:before="20" w:after="20"/>
            </w:pPr>
            <w:r>
              <w:rPr>
                <w:color w:val="1E293B"/>
                <w:sz w:val="18"/>
              </w:rPr>
              <w:t>Dual Scikit-Learn ML Models (Delay &amp; Denial)</w:t>
            </w:r>
          </w:p>
        </w:tc>
        <w:tc>
          <w:tcPr>
            <w:tcW w:type="dxa" w:w="3312"/>
            <w:shd w:fill="F8FAFC"/>
            <w:tcMar>
              <w:top w:w="80" w:type="dxa"/>
              <w:bottom w:w="80" w:type="dxa"/>
              <w:left w:w="120" w:type="dxa"/>
              <w:right w:w="120" w:type="dxa"/>
            </w:tcMar>
          </w:tcPr>
          <w:p>
            <w:pPr>
              <w:spacing w:before="20" w:after="20"/>
            </w:pPr>
            <w:r>
              <w:rPr>
                <w:color w:val="1E293B"/>
                <w:sz w:val="18"/>
              </w:rPr>
              <w:t>PASSED (6/6 tests)</w:t>
            </w:r>
          </w:p>
        </w:tc>
      </w:tr>
      <w:tr>
        <w:tc>
          <w:tcPr>
            <w:tcW w:type="dxa" w:w="3312"/>
            <w:shd w:fill="FFFFFF"/>
            <w:tcMar>
              <w:top w:w="80" w:type="dxa"/>
              <w:bottom w:w="80" w:type="dxa"/>
              <w:left w:w="120" w:type="dxa"/>
              <w:right w:w="120" w:type="dxa"/>
            </w:tcMar>
          </w:tcPr>
          <w:p>
            <w:pPr>
              <w:spacing w:before="20" w:after="20"/>
            </w:pPr>
            <w:r>
              <w:rPr>
                <w:color w:val="1E293B"/>
                <w:sz w:val="18"/>
              </w:rPr>
              <w:t>Phase 5</w:t>
            </w:r>
          </w:p>
        </w:tc>
        <w:tc>
          <w:tcPr>
            <w:tcW w:type="dxa" w:w="3312"/>
            <w:shd w:fill="FFFFFF"/>
            <w:tcMar>
              <w:top w:w="80" w:type="dxa"/>
              <w:bottom w:w="80" w:type="dxa"/>
              <w:left w:w="120" w:type="dxa"/>
              <w:right w:w="120" w:type="dxa"/>
            </w:tcMar>
          </w:tcPr>
          <w:p>
            <w:pPr>
              <w:spacing w:before="20" w:after="20"/>
            </w:pPr>
            <w:r>
              <w:rPr>
                <w:color w:val="1E293B"/>
                <w:sz w:val="18"/>
              </w:rPr>
              <w:t>Priority Engine (0-100 Score &amp; Explainability Factors)</w:t>
            </w:r>
          </w:p>
        </w:tc>
        <w:tc>
          <w:tcPr>
            <w:tcW w:type="dxa" w:w="3312"/>
            <w:shd w:fill="FFFFFF"/>
            <w:tcMar>
              <w:top w:w="80" w:type="dxa"/>
              <w:bottom w:w="80" w:type="dxa"/>
              <w:left w:w="120" w:type="dxa"/>
              <w:right w:w="120" w:type="dxa"/>
            </w:tcMar>
          </w:tcPr>
          <w:p>
            <w:pPr>
              <w:spacing w:before="20" w:after="20"/>
            </w:pPr>
            <w:r>
              <w:rPr>
                <w:color w:val="1E293B"/>
                <w:sz w:val="18"/>
              </w:rPr>
              <w:t>PASSED (7/7 tests)</w:t>
            </w:r>
          </w:p>
        </w:tc>
      </w:tr>
      <w:tr>
        <w:tc>
          <w:tcPr>
            <w:tcW w:type="dxa" w:w="3312"/>
            <w:shd w:fill="F8FAFC"/>
            <w:tcMar>
              <w:top w:w="80" w:type="dxa"/>
              <w:bottom w:w="80" w:type="dxa"/>
              <w:left w:w="120" w:type="dxa"/>
              <w:right w:w="120" w:type="dxa"/>
            </w:tcMar>
          </w:tcPr>
          <w:p>
            <w:pPr>
              <w:spacing w:before="20" w:after="20"/>
            </w:pPr>
            <w:r>
              <w:rPr>
                <w:color w:val="1E293B"/>
                <w:sz w:val="18"/>
              </w:rPr>
              <w:t>Phase 6</w:t>
            </w:r>
          </w:p>
        </w:tc>
        <w:tc>
          <w:tcPr>
            <w:tcW w:type="dxa" w:w="3312"/>
            <w:shd w:fill="F8FAFC"/>
            <w:tcMar>
              <w:top w:w="80" w:type="dxa"/>
              <w:bottom w:w="80" w:type="dxa"/>
              <w:left w:w="120" w:type="dxa"/>
              <w:right w:w="120" w:type="dxa"/>
            </w:tcMar>
          </w:tcPr>
          <w:p>
            <w:pPr>
              <w:spacing w:before="20" w:after="20"/>
            </w:pPr>
            <w:r>
              <w:rPr>
                <w:color w:val="1E293B"/>
                <w:sz w:val="18"/>
              </w:rPr>
              <w:t>Executive Dashboard Analytics (AR Aging, Payer Aggregates)</w:t>
            </w:r>
          </w:p>
        </w:tc>
        <w:tc>
          <w:tcPr>
            <w:tcW w:type="dxa" w:w="3312"/>
            <w:shd w:fill="F8FAFC"/>
            <w:tcMar>
              <w:top w:w="80" w:type="dxa"/>
              <w:bottom w:w="80" w:type="dxa"/>
              <w:left w:w="120" w:type="dxa"/>
              <w:right w:w="120" w:type="dxa"/>
            </w:tcMar>
          </w:tcPr>
          <w:p>
            <w:pPr>
              <w:spacing w:before="20" w:after="20"/>
            </w:pPr>
            <w:r>
              <w:rPr>
                <w:color w:val="1E293B"/>
                <w:sz w:val="18"/>
              </w:rPr>
              <w:t>PASSED (5/5 tests)</w:t>
            </w:r>
          </w:p>
        </w:tc>
      </w:tr>
      <w:tr>
        <w:tc>
          <w:tcPr>
            <w:tcW w:type="dxa" w:w="3312"/>
            <w:shd w:fill="FFFFFF"/>
            <w:tcMar>
              <w:top w:w="80" w:type="dxa"/>
              <w:bottom w:w="80" w:type="dxa"/>
              <w:left w:w="120" w:type="dxa"/>
              <w:right w:w="120" w:type="dxa"/>
            </w:tcMar>
          </w:tcPr>
          <w:p>
            <w:pPr>
              <w:spacing w:before="20" w:after="20"/>
            </w:pPr>
            <w:r>
              <w:rPr>
                <w:color w:val="1E293B"/>
                <w:sz w:val="18"/>
              </w:rPr>
              <w:t>Phase 7</w:t>
            </w:r>
          </w:p>
        </w:tc>
        <w:tc>
          <w:tcPr>
            <w:tcW w:type="dxa" w:w="3312"/>
            <w:shd w:fill="FFFFFF"/>
            <w:tcMar>
              <w:top w:w="80" w:type="dxa"/>
              <w:bottom w:w="80" w:type="dxa"/>
              <w:left w:w="120" w:type="dxa"/>
              <w:right w:w="120" w:type="dxa"/>
            </w:tcMar>
          </w:tcPr>
          <w:p>
            <w:pPr>
              <w:spacing w:before="20" w:after="20"/>
            </w:pPr>
            <w:r>
              <w:rPr>
                <w:color w:val="1E293B"/>
                <w:sz w:val="18"/>
              </w:rPr>
              <w:t>Claim Detail Workspace (Clinical, Financial, Timeline)</w:t>
            </w:r>
          </w:p>
        </w:tc>
        <w:tc>
          <w:tcPr>
            <w:tcW w:type="dxa" w:w="3312"/>
            <w:shd w:fill="FFFFFF"/>
            <w:tcMar>
              <w:top w:w="80" w:type="dxa"/>
              <w:bottom w:w="80" w:type="dxa"/>
              <w:left w:w="120" w:type="dxa"/>
              <w:right w:w="120" w:type="dxa"/>
            </w:tcMar>
          </w:tcPr>
          <w:p>
            <w:pPr>
              <w:spacing w:before="20" w:after="20"/>
            </w:pPr>
            <w:r>
              <w:rPr>
                <w:color w:val="1E293B"/>
                <w:sz w:val="18"/>
              </w:rPr>
              <w:t>PASSED (2/2 tests)</w:t>
            </w:r>
          </w:p>
        </w:tc>
      </w:tr>
      <w:tr>
        <w:tc>
          <w:tcPr>
            <w:tcW w:type="dxa" w:w="3312"/>
            <w:shd w:fill="F8FAFC"/>
            <w:tcMar>
              <w:top w:w="80" w:type="dxa"/>
              <w:bottom w:w="80" w:type="dxa"/>
              <w:left w:w="120" w:type="dxa"/>
              <w:right w:w="120" w:type="dxa"/>
            </w:tcMar>
          </w:tcPr>
          <w:p>
            <w:pPr>
              <w:spacing w:before="20" w:after="20"/>
            </w:pPr>
            <w:r>
              <w:rPr>
                <w:color w:val="1E293B"/>
                <w:sz w:val="18"/>
              </w:rPr>
              <w:t>Phase 8</w:t>
            </w:r>
          </w:p>
        </w:tc>
        <w:tc>
          <w:tcPr>
            <w:tcW w:type="dxa" w:w="3312"/>
            <w:shd w:fill="F8FAFC"/>
            <w:tcMar>
              <w:top w:w="80" w:type="dxa"/>
              <w:bottom w:w="80" w:type="dxa"/>
              <w:left w:w="120" w:type="dxa"/>
              <w:right w:w="120" w:type="dxa"/>
            </w:tcMar>
          </w:tcPr>
          <w:p>
            <w:pPr>
              <w:spacing w:before="20" w:after="20"/>
            </w:pPr>
            <w:r>
              <w:rPr>
                <w:color w:val="1E293B"/>
                <w:sz w:val="18"/>
              </w:rPr>
              <w:t>Payer Policy Vector RAG Engine (TF-IDF Cosine Similarity)</w:t>
            </w:r>
          </w:p>
        </w:tc>
        <w:tc>
          <w:tcPr>
            <w:tcW w:type="dxa" w:w="3312"/>
            <w:shd w:fill="F8FAFC"/>
            <w:tcMar>
              <w:top w:w="80" w:type="dxa"/>
              <w:bottom w:w="80" w:type="dxa"/>
              <w:left w:w="120" w:type="dxa"/>
              <w:right w:w="120" w:type="dxa"/>
            </w:tcMar>
          </w:tcPr>
          <w:p>
            <w:pPr>
              <w:spacing w:before="20" w:after="20"/>
            </w:pPr>
            <w:r>
              <w:rPr>
                <w:color w:val="1E293B"/>
                <w:sz w:val="18"/>
              </w:rPr>
              <w:t>PASSED (6/6 tests)</w:t>
            </w:r>
          </w:p>
        </w:tc>
      </w:tr>
      <w:tr>
        <w:tc>
          <w:tcPr>
            <w:tcW w:type="dxa" w:w="3312"/>
            <w:shd w:fill="FFFFFF"/>
            <w:tcMar>
              <w:top w:w="80" w:type="dxa"/>
              <w:bottom w:w="80" w:type="dxa"/>
              <w:left w:w="120" w:type="dxa"/>
              <w:right w:w="120" w:type="dxa"/>
            </w:tcMar>
          </w:tcPr>
          <w:p>
            <w:pPr>
              <w:spacing w:before="20" w:after="20"/>
            </w:pPr>
            <w:r>
              <w:rPr>
                <w:color w:val="1E293B"/>
                <w:sz w:val="18"/>
              </w:rPr>
              <w:t>Phase 9</w:t>
            </w:r>
          </w:p>
        </w:tc>
        <w:tc>
          <w:tcPr>
            <w:tcW w:type="dxa" w:w="3312"/>
            <w:shd w:fill="FFFFFF"/>
            <w:tcMar>
              <w:top w:w="80" w:type="dxa"/>
              <w:bottom w:w="80" w:type="dxa"/>
              <w:left w:w="120" w:type="dxa"/>
              <w:right w:w="120" w:type="dxa"/>
            </w:tcMar>
          </w:tcPr>
          <w:p>
            <w:pPr>
              <w:spacing w:before="20" w:after="20"/>
            </w:pPr>
            <w:r>
              <w:rPr>
                <w:color w:val="1E293B"/>
                <w:sz w:val="18"/>
              </w:rPr>
              <w:t>Autonomous AI Follow-Up Agent &amp; Audit Log</w:t>
            </w:r>
          </w:p>
        </w:tc>
        <w:tc>
          <w:tcPr>
            <w:tcW w:type="dxa" w:w="3312"/>
            <w:shd w:fill="FFFFFF"/>
            <w:tcMar>
              <w:top w:w="80" w:type="dxa"/>
              <w:bottom w:w="80" w:type="dxa"/>
              <w:left w:w="120" w:type="dxa"/>
              <w:right w:w="120" w:type="dxa"/>
            </w:tcMar>
          </w:tcPr>
          <w:p>
            <w:pPr>
              <w:spacing w:before="20" w:after="20"/>
            </w:pPr>
            <w:r>
              <w:rPr>
                <w:color w:val="1E293B"/>
                <w:sz w:val="18"/>
              </w:rPr>
              <w:t>PASSED (5/5 tests)</w:t>
            </w:r>
          </w:p>
        </w:tc>
      </w:tr>
      <w:tr>
        <w:tc>
          <w:tcPr>
            <w:tcW w:type="dxa" w:w="3312"/>
            <w:shd w:fill="F8FAFC"/>
            <w:tcMar>
              <w:top w:w="80" w:type="dxa"/>
              <w:bottom w:w="80" w:type="dxa"/>
              <w:left w:w="120" w:type="dxa"/>
              <w:right w:w="120" w:type="dxa"/>
            </w:tcMar>
          </w:tcPr>
          <w:p>
            <w:pPr>
              <w:spacing w:before="20" w:after="20"/>
            </w:pPr>
            <w:r>
              <w:rPr>
                <w:color w:val="1E293B"/>
                <w:sz w:val="18"/>
              </w:rPr>
              <w:t>Phase 10</w:t>
            </w:r>
          </w:p>
        </w:tc>
        <w:tc>
          <w:tcPr>
            <w:tcW w:type="dxa" w:w="3312"/>
            <w:shd w:fill="F8FAFC"/>
            <w:tcMar>
              <w:top w:w="80" w:type="dxa"/>
              <w:bottom w:w="80" w:type="dxa"/>
              <w:left w:w="120" w:type="dxa"/>
              <w:right w:w="120" w:type="dxa"/>
            </w:tcMar>
          </w:tcPr>
          <w:p>
            <w:pPr>
              <w:spacing w:before="20" w:after="20"/>
            </w:pPr>
            <w:r>
              <w:rPr>
                <w:color w:val="1E293B"/>
                <w:sz w:val="18"/>
              </w:rPr>
              <w:t>Multi-Format Follow-Up Generator Studio (5 Formats)</w:t>
            </w:r>
          </w:p>
        </w:tc>
        <w:tc>
          <w:tcPr>
            <w:tcW w:type="dxa" w:w="3312"/>
            <w:shd w:fill="F8FAFC"/>
            <w:tcMar>
              <w:top w:w="80" w:type="dxa"/>
              <w:bottom w:w="80" w:type="dxa"/>
              <w:left w:w="120" w:type="dxa"/>
              <w:right w:w="120" w:type="dxa"/>
            </w:tcMar>
          </w:tcPr>
          <w:p>
            <w:pPr>
              <w:spacing w:before="20" w:after="20"/>
            </w:pPr>
            <w:r>
              <w:rPr>
                <w:color w:val="1E293B"/>
                <w:sz w:val="18"/>
              </w:rPr>
              <w:t>PASSED (4/4 tests)</w:t>
            </w:r>
          </w:p>
        </w:tc>
      </w:tr>
      <w:tr>
        <w:tc>
          <w:tcPr>
            <w:tcW w:type="dxa" w:w="3312"/>
            <w:shd w:fill="FFFFFF"/>
            <w:tcMar>
              <w:top w:w="80" w:type="dxa"/>
              <w:bottom w:w="80" w:type="dxa"/>
              <w:left w:w="120" w:type="dxa"/>
              <w:right w:w="120" w:type="dxa"/>
            </w:tcMar>
          </w:tcPr>
          <w:p>
            <w:pPr>
              <w:spacing w:before="20" w:after="20"/>
            </w:pPr>
            <w:r>
              <w:rPr>
                <w:color w:val="1E293B"/>
                <w:sz w:val="18"/>
              </w:rPr>
              <w:t>Phase 11</w:t>
            </w:r>
          </w:p>
        </w:tc>
        <w:tc>
          <w:tcPr>
            <w:tcW w:type="dxa" w:w="3312"/>
            <w:shd w:fill="FFFFFF"/>
            <w:tcMar>
              <w:top w:w="80" w:type="dxa"/>
              <w:bottom w:w="80" w:type="dxa"/>
              <w:left w:w="120" w:type="dxa"/>
              <w:right w:w="120" w:type="dxa"/>
            </w:tcMar>
          </w:tcPr>
          <w:p>
            <w:pPr>
              <w:spacing w:before="20" w:after="20"/>
            </w:pPr>
            <w:r>
              <w:rPr>
                <w:color w:val="1E293B"/>
                <w:sz w:val="18"/>
              </w:rPr>
              <w:t>Payer Response Simulator (4-Class Adjudication Model)</w:t>
            </w:r>
          </w:p>
        </w:tc>
        <w:tc>
          <w:tcPr>
            <w:tcW w:type="dxa" w:w="3312"/>
            <w:shd w:fill="FFFFFF"/>
            <w:tcMar>
              <w:top w:w="80" w:type="dxa"/>
              <w:bottom w:w="80" w:type="dxa"/>
              <w:left w:w="120" w:type="dxa"/>
              <w:right w:w="120" w:type="dxa"/>
            </w:tcMar>
          </w:tcPr>
          <w:p>
            <w:pPr>
              <w:spacing w:before="20" w:after="20"/>
            </w:pPr>
            <w:r>
              <w:rPr>
                <w:color w:val="1E293B"/>
                <w:sz w:val="18"/>
              </w:rPr>
              <w:t>PASSED (3/3 tests)</w:t>
            </w:r>
          </w:p>
        </w:tc>
      </w:tr>
      <w:tr>
        <w:tc>
          <w:tcPr>
            <w:tcW w:type="dxa" w:w="3312"/>
            <w:shd w:fill="F8FAFC"/>
            <w:tcMar>
              <w:top w:w="80" w:type="dxa"/>
              <w:bottom w:w="80" w:type="dxa"/>
              <w:left w:w="120" w:type="dxa"/>
              <w:right w:w="120" w:type="dxa"/>
            </w:tcMar>
          </w:tcPr>
          <w:p>
            <w:pPr>
              <w:spacing w:before="20" w:after="20"/>
            </w:pPr>
            <w:r>
              <w:rPr>
                <w:color w:val="1E293B"/>
                <w:sz w:val="18"/>
              </w:rPr>
              <w:t>Phase 12</w:t>
            </w:r>
          </w:p>
        </w:tc>
        <w:tc>
          <w:tcPr>
            <w:tcW w:type="dxa" w:w="3312"/>
            <w:shd w:fill="F8FAFC"/>
            <w:tcMar>
              <w:top w:w="80" w:type="dxa"/>
              <w:bottom w:w="80" w:type="dxa"/>
              <w:left w:w="120" w:type="dxa"/>
              <w:right w:w="120" w:type="dxa"/>
            </w:tcMar>
          </w:tcPr>
          <w:p>
            <w:pPr>
              <w:spacing w:before="20" w:after="20"/>
            </w:pPr>
            <w:r>
              <w:rPr>
                <w:color w:val="1E293B"/>
                <w:sz w:val="18"/>
              </w:rPr>
              <w:t>Closed-Loop Autonomous Recovery Engine</w:t>
            </w:r>
          </w:p>
        </w:tc>
        <w:tc>
          <w:tcPr>
            <w:tcW w:type="dxa" w:w="3312"/>
            <w:shd w:fill="F8FAFC"/>
            <w:tcMar>
              <w:top w:w="80" w:type="dxa"/>
              <w:bottom w:w="80" w:type="dxa"/>
              <w:left w:w="120" w:type="dxa"/>
              <w:right w:w="120" w:type="dxa"/>
            </w:tcMar>
          </w:tcPr>
          <w:p>
            <w:pPr>
              <w:spacing w:before="20" w:after="20"/>
            </w:pPr>
            <w:r>
              <w:rPr>
                <w:color w:val="1E293B"/>
                <w:sz w:val="18"/>
              </w:rPr>
              <w:t>PASSED (2/2 tests)</w:t>
            </w:r>
          </w:p>
        </w:tc>
      </w:tr>
      <w:tr>
        <w:tc>
          <w:tcPr>
            <w:tcW w:type="dxa" w:w="3312"/>
            <w:shd w:fill="FFFFFF"/>
            <w:tcMar>
              <w:top w:w="80" w:type="dxa"/>
              <w:bottom w:w="80" w:type="dxa"/>
              <w:left w:w="120" w:type="dxa"/>
              <w:right w:w="120" w:type="dxa"/>
            </w:tcMar>
          </w:tcPr>
          <w:p>
            <w:pPr>
              <w:spacing w:before="20" w:after="20"/>
            </w:pPr>
            <w:r>
              <w:rPr>
                <w:color w:val="1E293B"/>
                <w:sz w:val="18"/>
              </w:rPr>
              <w:t>Phase 13</w:t>
            </w:r>
          </w:p>
        </w:tc>
        <w:tc>
          <w:tcPr>
            <w:tcW w:type="dxa" w:w="3312"/>
            <w:shd w:fill="FFFFFF"/>
            <w:tcMar>
              <w:top w:w="80" w:type="dxa"/>
              <w:bottom w:w="80" w:type="dxa"/>
              <w:left w:w="120" w:type="dxa"/>
              <w:right w:w="120" w:type="dxa"/>
            </w:tcMar>
          </w:tcPr>
          <w:p>
            <w:pPr>
              <w:spacing w:before="20" w:after="20"/>
            </w:pPr>
            <w:r>
              <w:rPr>
                <w:color w:val="1E293B"/>
                <w:sz w:val="18"/>
              </w:rPr>
              <w:t>Final Polish, End-to-End Test Suite &amp; CLI Demo</w:t>
            </w:r>
          </w:p>
        </w:tc>
        <w:tc>
          <w:tcPr>
            <w:tcW w:type="dxa" w:w="3312"/>
            <w:shd w:fill="FFFFFF"/>
            <w:tcMar>
              <w:top w:w="80" w:type="dxa"/>
              <w:bottom w:w="80" w:type="dxa"/>
              <w:left w:w="120" w:type="dxa"/>
              <w:right w:w="120" w:type="dxa"/>
            </w:tcMar>
          </w:tcPr>
          <w:p>
            <w:pPr>
              <w:spacing w:before="20" w:after="20"/>
            </w:pPr>
            <w:r>
              <w:rPr>
                <w:color w:val="1E293B"/>
                <w:sz w:val="18"/>
              </w:rPr>
              <w:t>PASSED (2/2 tests)</w:t>
            </w:r>
          </w:p>
        </w:tc>
      </w:tr>
    </w:tbl>
    <w:p>
      <w:pPr>
        <w:spacing w:after="120"/>
      </w:pPr>
    </w:p>
    <w:p>
      <w:r>
        <w:t>Total Test Suite Score: 60 passed in 1.40s with 0 errors. Frontend build: 100% clean TypeScript/Vite compilation.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