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NIFTY Executive Investment Screening Summary</w:t>
      </w:r>
    </w:p>
    <w:p>
      <w:r>
        <w:t>Generated by: Restructured AI Investment Committee Engine (Gemini 2.5 Architecture)</w:t>
        <w:br/>
        <w:t>Advanced Core Financial Ratios &amp; Interactive Data Trendlines</w:t>
      </w:r>
    </w:p>
    <w:p>
      <w:r>
        <w:rPr>
          <w:b/>
          <w:sz w:val="26"/>
        </w:rPr>
        <w:br/>
        <w:t>🏢 InterGlobe Aviation Ltd.</w:t>
      </w:r>
      <w:r>
        <w:rPr>
          <w:i/>
        </w:rPr>
        <w:t xml:space="preserve"> | Action Recommendation: </w:t>
      </w:r>
      <w:r>
        <w:rPr>
          <w:b/>
          <w:color w:val="008000"/>
        </w:rPr>
        <w:t>BUY</w:t>
      </w:r>
    </w:p>
    <w:p>
      <w:r>
        <w:rPr>
          <w:b/>
          <w:sz w:val="21"/>
        </w:rPr>
        <w:t>🔢 Mathematically Derived Core Ratio History:</w:t>
      </w:r>
    </w:p>
    <w:p>
      <w:r>
        <w:rPr>
          <w:sz w:val="19"/>
        </w:rPr>
        <w:t>• Fiscal Year 2022 | Profitability (NPM): -23.76% | ROI (ROA Proxy): -13.41% | Solvency (Debt/Assets Ratio): 0.91% | Liquidity (Cash/Assets Ratio): 2.21%</w:t>
        <w:br/>
        <w:t>• Fiscal Year 2023 | Profitability (NPM): -0.57% | ROI (ROA Proxy): -0.52% | Solvency (Debt/Assets Ratio): 0.00% | Liquidity (Cash/Assets Ratio): 2.14%</w:t>
        <w:br/>
        <w:t>• Fiscal Year 2024 | Profitability (NPM): 12.13% | ROI (ROA Proxy): 9.94% | Solvency (Debt/Assets Ratio): 0.00% | Liquidity (Cash/Assets Ratio): 0.85%</w:t>
        <w:br/>
        <w:t>• Fiscal Year 2025 | Profitability (NPM): 9.35% | ROI (ROA Proxy): 6.27% | Solvency (Debt/Assets Ratio): 0.00% | Liquidity (Cash/Assets Ratio): 0.93%</w:t>
        <w:br/>
      </w:r>
    </w:p>
    <w:p>
      <w:r>
        <w:rPr>
          <w:b/>
          <w:sz w:val="21"/>
        </w:rPr>
        <w:t>🧠 Agentic Committee Forensic Rationale:</w:t>
      </w:r>
    </w:p>
    <w:p>
      <w:r>
        <w:rPr>
          <w:sz w:val="20"/>
        </w:rPr>
        <w:t>InterGlobe Aviation showcases a profound financial resurgence, evidenced by a dramatic shift from a -23.76% Net Profit Margin in Fiscal Year 2022 to robust profitability, reaching 12.13% in 2024 and maintaining 9.35% in 2025. This profitability is strongly backed by liquid cash, as indicated by consistently superior Operating Cash Flows relative to Net Income, mitigating accrual risks. The company exhibits exceptional internal funding capabilities with Free Cash Flow consistently outstripping Capital Expenditures, ensuring no asset strain for expansion. A pristine solvency profile, with a Debt/Assets Ratio at 0.00% from Fiscal Year 2023, complements increasingly efficient capital deployment, manifest in a powerful rebound in ROA Proxy from -13.41% in 2022 to 9.94% in 2024, signaling effective operational conversion and strong financial durability.</w:t>
      </w:r>
    </w:p>
    <w:p>
      <w:r>
        <w:drawing>
          <wp:inline xmlns:a="http://schemas.openxmlformats.org/drawingml/2006/main" xmlns:pic="http://schemas.openxmlformats.org/drawingml/2006/picture">
            <wp:extent cx="5120640" cy="2926080"/>
            <wp:docPr id="1" name="Picture 1"/>
            <wp:cNvGraphicFramePr>
              <a:graphicFrameLocks noChangeAspect="1"/>
            </wp:cNvGraphicFramePr>
            <a:graphic>
              <a:graphicData uri="http://schemas.openxmlformats.org/drawingml/2006/picture">
                <pic:pic>
                  <pic:nvPicPr>
                    <pic:cNvPr id="0" name="trend_chart_0.png"/>
                    <pic:cNvPicPr/>
                  </pic:nvPicPr>
                  <pic:blipFill>
                    <a:blip r:embed="rId9"/>
                    <a:stretch>
                      <a:fillRect/>
                    </a:stretch>
                  </pic:blipFill>
                  <pic:spPr>
                    <a:xfrm>
                      <a:off x="0" y="0"/>
                      <a:ext cx="5120640" cy="2926080"/>
                    </a:xfrm>
                    <a:prstGeom prst="rect"/>
                  </pic:spPr>
                </pic:pic>
              </a:graphicData>
            </a:graphic>
          </wp:inline>
        </w:drawing>
      </w:r>
    </w:p>
    <w:p>
      <w:r>
        <w:rPr>
          <w:b/>
          <w:sz w:val="26"/>
        </w:rPr>
        <w:br/>
        <w:t>🏢 Wipro Ltd.</w:t>
      </w:r>
      <w:r>
        <w:rPr>
          <w:i/>
        </w:rPr>
        <w:t xml:space="preserve"> | Action Recommendation: </w:t>
      </w:r>
      <w:r>
        <w:rPr>
          <w:b/>
          <w:color w:val="DAA520"/>
        </w:rPr>
        <w:t>HOLD</w:t>
      </w:r>
    </w:p>
    <w:p>
      <w:r>
        <w:rPr>
          <w:b/>
          <w:sz w:val="21"/>
        </w:rPr>
        <w:t>🔢 Mathematically Derived Core Ratio History:</w:t>
      </w:r>
    </w:p>
    <w:p>
      <w:r>
        <w:rPr>
          <w:sz w:val="19"/>
        </w:rPr>
        <w:t>• Fiscal Year 2022 | Profitability (NPM): 15.45% | ROI (ROA Proxy): 11.32% | Solvency (Debt/Assets Ratio): 5.23% | Liquidity (Cash/Assets Ratio): 9.62%</w:t>
        <w:br/>
        <w:t>• Fiscal Year 2023 | Profitability (NPM): 12.54% | ROI (ROA Proxy): 9.65% | Solvency (Debt/Assets Ratio): 5.21% | Liquidity (Cash/Assets Ratio): 7.81%</w:t>
        <w:br/>
        <w:t>• Fiscal Year 2024 | Profitability (NPM): 12.31% | ROI (ROA Proxy): 9.58% | Solvency (Debt/Assets Ratio): 5.41% | Liquidity (Cash/Assets Ratio): 8.41%</w:t>
        <w:br/>
        <w:t>• Fiscal Year 2025 | Profitability (NPM): 14.74% | ROI (ROA Proxy): 10.21% | Solvency (Debt/Assets Ratio): 4.97% | Liquidity (Cash/Assets Ratio): 9.48%</w:t>
        <w:br/>
      </w:r>
    </w:p>
    <w:p>
      <w:r>
        <w:rPr>
          <w:b/>
          <w:sz w:val="21"/>
        </w:rPr>
        <w:t>🧠 Agentic Committee Forensic Rationale:</w:t>
      </w:r>
    </w:p>
    <w:p>
      <w:r>
        <w:rPr>
          <w:sz w:val="20"/>
        </w:rPr>
        <w:t>Wipro demonstrates exceptional financial durability, evidenced by the recovery in its Profitability (NPM) to 14.74% and ROI (ROA Proxy) to 10.21% in Fiscal Year 2025, coupled with a robust Cash/Assets Ratio of 9.48%. The enterprise's solvency profile is remarkably strong, maintaining an ultra-low Debt/Assets Ratio of 4.97% in FY2025, significantly mitigating financial risk. However, while capital deployment is structurally sound given its internal cash generation, concerns arise regarding the growth trajectory and efficient operational conversion as reflected by flattened top-line performance. A HOLD rating is recommended pending clearer evidence of renewed revenue expansion, ensuring capital deployment translates into sustained profitable growth.</w:t>
      </w:r>
    </w:p>
    <w:p>
      <w:r>
        <w:drawing>
          <wp:inline xmlns:a="http://schemas.openxmlformats.org/drawingml/2006/main" xmlns:pic="http://schemas.openxmlformats.org/drawingml/2006/picture">
            <wp:extent cx="5120640" cy="2926080"/>
            <wp:docPr id="2" name="Picture 2"/>
            <wp:cNvGraphicFramePr>
              <a:graphicFrameLocks noChangeAspect="1"/>
            </wp:cNvGraphicFramePr>
            <a:graphic>
              <a:graphicData uri="http://schemas.openxmlformats.org/drawingml/2006/picture">
                <pic:pic>
                  <pic:nvPicPr>
                    <pic:cNvPr id="0" name="trend_chart_1.png"/>
                    <pic:cNvPicPr/>
                  </pic:nvPicPr>
                  <pic:blipFill>
                    <a:blip r:embed="rId10"/>
                    <a:stretch>
                      <a:fillRect/>
                    </a:stretch>
                  </pic:blipFill>
                  <pic:spPr>
                    <a:xfrm>
                      <a:off x="0" y="0"/>
                      <a:ext cx="5120640" cy="2926080"/>
                    </a:xfrm>
                    <a:prstGeom prst="rect"/>
                  </pic:spPr>
                </pic:pic>
              </a:graphicData>
            </a:graphic>
          </wp:inline>
        </w:drawing>
      </w:r>
    </w:p>
    <w:p>
      <w:r>
        <w:br/>
        <w:t>____________________________________________________________</w:t>
        <w:br/>
      </w:r>
    </w:p>
    <w:p>
      <w:pPr>
        <w:pStyle w:val="Heading2"/>
      </w:pPr>
      <w:r>
        <w:rPr>
          <w:color w:val="003366"/>
        </w:rPr>
        <w:t>🔄 Dynamic AI Portfolio Amendment Ledger</w:t>
      </w:r>
    </w:p>
    <w:p>
      <w:r>
        <w:rPr>
          <w:b/>
        </w:rPr>
        <w:t xml:space="preserve">📍 Target Security: </w:t>
      </w:r>
      <w:r>
        <w:t>Wipro Ltd.</w:t>
        <w:br/>
      </w:r>
      <w:r>
        <w:rPr>
          <w:b/>
        </w:rPr>
        <w:t xml:space="preserve">📊 Updated Committee Action: </w:t>
      </w:r>
      <w:r>
        <w:rPr>
          <w:b/>
          <w:color w:val="CC9900"/>
        </w:rPr>
        <w:t>[HOLD]</w:t>
      </w:r>
      <w:r>
        <w:br/>
        <w:t>📅 Audit Lifecycle Timestamp: 2026-05-29 12:43:32 (Processed via Mail Automation Loop)</w:t>
        <w:br/>
      </w:r>
    </w:p>
    <w:p>
      <w:r>
        <w:rPr>
          <w:b/>
        </w:rPr>
        <w:t>🧠 REVISED FORENSIC AUDITOR RATIONALE:</w:t>
      </w:r>
    </w:p>
    <w:p>
      <w:pPr>
        <w:ind w:left="720"/>
      </w:pPr>
      <w:r>
        <w:rPr>
          <w:i/>
          <w:color w:val="404040"/>
          <w:sz w:val="21"/>
        </w:rPr>
        <w:t>"Wipro Ltd. maintains an exceptionally strong financial foundation and demonstrates impressive durability, yet its growth trajectory warrants a HOLD rating pending clearer catalysts for renewed top-line expansion. The company exhibits robust profitability, with Net Profit Margin (NPM) recovering to a solid 14.74% in Fiscal Year 2025, complemented by a strong Return on Assets (ROA Proxy) of 10.21% in the same period, indicating effective management of core operations. Furthermore, Wipro's liquidity profile is robust, evidenced by a healthy Cash/Assets Ratio of 9.48% in FY2025, providing substantial financial flexibility and buffering against market volatility. The enterprise's solvency position is equally compelling, maintaining an ultra-low Debt/Assets Ratio of 4.97% in FY2025, which significantly de-risks its balance sheet and highlights its conservative financial management. While capital deployment is structurally sound and supported by strong internal cash generation, a primary concern revolves around the consistent, albeit strong, rather than accelerating, top-line performance. The absence of significant revenue expansion across recent fiscal years suggests a mature operating environment where efficient operational conversion is paramount, but new market penetration or substantial market share gains are not prominently driving growth. Therefore, while Wipro's financial health is undeniable, the HOLD recommendation reflects a need for clearer evidence of renewed revenue expansion strategies, potentially through significant new contract wins, innovative service offerings, or strategic acquisitions that promise to translate its formidable financial strength into accelerated and sustained profitable growth beyond its current stable operational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