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3366"/>
          <w:sz w:val="44"/>
        </w:rPr>
        <w:t>QuantAgent Custom Investment Committee Executive Brief</w:t>
      </w:r>
    </w:p>
    <w:p>
      <w:r>
        <w:t>Generated on: 2026-05-30 01:13:12</w:t>
        <w:br/>
      </w:r>
    </w:p>
    <w:p>
      <w:r>
        <w:rPr>
          <w:b/>
        </w:rPr>
        <w:t xml:space="preserve">🏢 Security: </w:t>
      </w:r>
      <w:r>
        <w:t>TATAMOTORS.NS</w:t>
        <w:br/>
      </w:r>
      <w:r>
        <w:rPr>
          <w:b/>
        </w:rPr>
        <w:t xml:space="preserve">📊 Action Recommendation: </w:t>
      </w:r>
      <w:r>
        <w:rPr>
          <w:b/>
          <w:color w:val="008000"/>
        </w:rPr>
        <w:t>[BUY]</w:t>
        <w:br/>
      </w:r>
      <w:r>
        <w:rPr>
          <w:b/>
        </w:rPr>
        <w:t>🧠 Forensic Rationale:</w:t>
        <w:br/>
      </w:r>
      <w:r>
        <w:rPr>
          <w:i/>
          <w:color w:val="404040"/>
        </w:rPr>
        <w:t>"Tata Motors is exhibiting robust margin expansion, primarily driven by Jaguar Land Rover's successful 'Reimagine' strategy and improving product mix, alongside enhanced profitability in the India PV and CV segments. The systemic tailwinds of premiumization in global markets and a leading position in India's accelerating EV transition further bolster its revenue and margin profile. Disciplined cost control, operating leverage, and sustained deleveraging efforts are contributing to strong free cash flow generation and improved balance sheet health. This consistent positive financial trendline underscores a compelling investment outlook."</w:t>
      </w:r>
    </w:p>
    <w:p>
      <w:r>
        <w:t>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