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QuantAgent Portfolio Rationale</w:t>
      </w:r>
    </w:p>
    <w:p>
      <w:pPr>
        <w:pStyle w:val="Heading1"/>
      </w:pPr>
      <w:r>
        <w:t>Target Securities Evaluated:</w:t>
      </w:r>
    </w:p>
    <w:p>
      <w:pPr>
        <w:pStyle w:val="ListBullet"/>
      </w:pPr>
      <w:r>
        <w:t>• TCS.NS</w:t>
      </w:r>
    </w:p>
    <w:p>
      <w:pPr>
        <w:pStyle w:val="Heading1"/>
      </w:pPr>
      <w:r>
        <w:t>Strategic Guidelines Applied:</w:t>
      </w:r>
    </w:p>
    <w:p>
      <w:r>
        <w:t>Standard screening matrices applied.</w:t>
      </w:r>
    </w:p>
    <w:p>
      <w:pPr>
        <w:pStyle w:val="Heading1"/>
      </w:pPr>
      <w:r>
        <w:t>AI Analysis Output</w:t>
      </w:r>
    </w:p>
    <w:p>
      <w:r>
        <w:t>This is a placeholder for the Gemini AI output. The backend successfully received your configuration and compiled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