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NIFTY Executive Investment Screening Summary</w:t>
      </w:r>
    </w:p>
    <w:p>
      <w:r>
        <w:rPr>
          <w:b/>
        </w:rPr>
        <w:br/>
        <w:t xml:space="preserve">🏢 Cipla Ltd. | Action: </w:t>
      </w:r>
      <w:r>
        <w:rPr>
          <w:b/>
          <w:color w:val="B40000"/>
        </w:rPr>
        <w:t>SELL</w:t>
      </w:r>
    </w:p>
    <w:p>
      <w:r>
        <w:t>🧠 Forensic Rationale:</w:t>
      </w:r>
    </w:p>
    <w:p>
      <w:r>
        <w:t>Projected financial performance for FY2026 indicates a significant deceleration in revenue growth (2.09%) and a sharp decline in profitability metrics, with Net Profit Margin falling from 19.42% (FY2025) to 14.00% and Return on Assets decreasing from 14.10% to 9.13%. This strong reversal of previous positive trends signals potential operational challenges and warrants a divestment.</w:t>
      </w:r>
    </w:p>
    <w:p>
      <w:r>
        <w:drawing>
          <wp:inline xmlns:a="http://schemas.openxmlformats.org/drawingml/2006/main" xmlns:pic="http://schemas.openxmlformats.org/drawingml/2006/picture">
            <wp:extent cx="5029200" cy="2873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hart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 xml:space="preserve">🏢 Coal India Ltd. | Action: </w:t>
      </w:r>
      <w:r>
        <w:rPr>
          <w:b/>
          <w:color w:val="B40000"/>
        </w:rPr>
        <w:t>SELL</w:t>
      </w:r>
    </w:p>
    <w:p>
      <w:r>
        <w:t>🧠 Forensic Rationale:</w:t>
      </w:r>
    </w:p>
    <w:p>
      <w:r>
        <w:t>While FY2025 projects a substantial revenue increase, the company faces consistent and significant erosion in profitability. Net Profit Margin is projected to decline from 29.43% (FY2024) to 18.46% (FY2026), and Return on Assets is set to decrease from 15.74% to 10.89% over the same period. This indicates fundamental challenges in maintaining profitability despite revenue fluctuations, making it an unfavorable investment.</w:t>
      </w:r>
    </w:p>
    <w:p>
      <w:r>
        <w:drawing>
          <wp:inline xmlns:a="http://schemas.openxmlformats.org/drawingml/2006/main" xmlns:pic="http://schemas.openxmlformats.org/drawingml/2006/picture">
            <wp:extent cx="5029200" cy="28738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hart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