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F3D3E"/>
          <w:sz w:val="56"/>
        </w:rPr>
        <w:t>FinnAI SLM</w:t>
      </w:r>
    </w:p>
    <w:p>
      <w:pPr>
        <w:jc w:val="center"/>
      </w:pPr>
      <w:r>
        <w:rPr>
          <w:rFonts w:ascii="Calibri" w:hAnsi="Calibri" w:eastAsia="Calibri"/>
          <w:b w:val="0"/>
          <w:color w:val="333333"/>
          <w:sz w:val="28"/>
        </w:rPr>
        <w:t>How we fine-tuned an on-device finance AI — for CXOs and builders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FinnDot · September 2026 · Apache 2.0</w:t>
        <w:br/>
        <w:t>Model: https://huggingface.co/finndot/finnai-slm-v2</w:t>
        <w:br/>
        <w:t>Dataset: https://huggingface.co/datasets/finndot/finnai-slm-data</w:t>
        <w:br/>
        <w:t>Code: https://github.com/arunbhatg/finnai-slm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4F3"/>
          </w:tcPr>
          <w:p>
            <w:r>
              <w:rPr>
                <w:rFonts w:ascii="Calibri" w:hAnsi="Calibri" w:eastAsia="Calibri"/>
                <w:b/>
                <w:color w:val="0F3D3E"/>
                <w:sz w:val="22"/>
              </w:rPr>
              <w:t>How to read this brief</w:t>
            </w:r>
          </w:p>
          <w:p>
            <w:r>
              <w:rPr>
                <w:rFonts w:ascii="Calibri" w:hAnsi="Calibri" w:eastAsia="Calibri"/>
                <w:b w:val="0"/>
                <w:sz w:val="20"/>
              </w:rPr>
              <w:t>Plain English sections are for CXOs and product leaders who use ChatGPT-like tools but do not train models. Technical callouts keep the real method, metrics, and trade-offs — nothing important is hidden. You can skim the teal boxes and charts first, then dive into the technical parts where needed.</w:t>
            </w:r>
          </w:p>
        </w:tc>
      </w:tr>
    </w:tbl>
    <w:p/>
    <w:p>
      <w:pPr>
        <w:pStyle w:val="Heading1"/>
      </w:pPr>
      <w:r>
        <w:rPr>
          <w:color w:val="0F3D3E"/>
        </w:rPr>
        <w:t>1. Executive summary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FinnDot automatically turns Indian bank SMS into expense records and answers money questions. Regex parsers already cover 35+ banks. The remaining hard cases — unknown banks, Hindi/Hinglish SMS, and finance coaching — need language understanding.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We fine-tuned a small open-source model (Qwen3, 1.7 billion parameters) so it runs on the user's phone. After training, SMS field accuracy rose from ~28% (base model) to ~98% (FinnAI v2) on a held-out test set. Training data is synthetic — no real user SMS. Total project GPU + data cost was on the order of tens of dollars, not millions.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4F3"/>
          </w:tcPr>
          <w:p>
            <w:r>
              <w:rPr>
                <w:rFonts w:ascii="Calibri" w:hAnsi="Calibri" w:eastAsia="Calibri"/>
                <w:b/>
                <w:color w:val="0F3D3E"/>
                <w:sz w:val="22"/>
              </w:rPr>
              <w:t>One-line takeaway</w:t>
            </w:r>
          </w:p>
          <w:p>
            <w:r>
              <w:rPr>
                <w:rFonts w:ascii="Calibri" w:hAnsi="Calibri" w:eastAsia="Calibri"/>
                <w:b w:val="0"/>
                <w:sz w:val="20"/>
              </w:rPr>
              <w:t>A narrow, privacy-critical product job does not need a giant cloud model. A carefully fine-tuned small model can beat a general phone-sized baseline and ship under Apache 2.0.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60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6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1 — SMS extraction accuracy before vs after fine-tuning</w:t>
      </w:r>
    </w:p>
    <w:p>
      <w:pPr>
        <w:pStyle w:val="Heading1"/>
      </w:pPr>
      <w:r>
        <w:rPr>
          <w:color w:val="0F3D3E"/>
        </w:rPr>
        <w:t>2. Two audiences, one 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If you are…</w:t>
            </w:r>
          </w:p>
        </w:tc>
        <w:tc>
          <w:tcPr>
            <w:tcW w:type="dxa" w:w="3264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Focus on…</w:t>
            </w:r>
          </w:p>
        </w:tc>
        <w:tc>
          <w:tcPr>
            <w:tcW w:type="dxa" w:w="3264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Skip / skim…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CXO / product (LLM as a user)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§1, §3, §4 charts, §8 cost, §9 open-source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Hyperparameter tables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Tech lead / ML-curious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§5–§7 technical callouts + eval gates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Nothing — read all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Partner / investor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§1, §4 privacy, §8 cost, HF/GitHub links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AWS instance types</w:t>
            </w:r>
          </w:p>
        </w:tc>
      </w:tr>
    </w:tbl>
    <w:p/>
    <w:p>
      <w:pPr>
        <w:pStyle w:val="Heading1"/>
      </w:pPr>
      <w:r>
        <w:rPr>
          <w:color w:val="0F3D3E"/>
        </w:rPr>
        <w:t>3. The business problem (plain English)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Banks text customers after every UPI payment. FinnDot reads those texts and books the expense automatically. That saves users from typing. It only works if we can reliably extract: amount, merchant, type, account last-4, balance.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Example SMS</w:t>
      </w:r>
    </w:p>
    <w:p>
      <w:pPr>
        <w:spacing w:after="160" w:before="0"/>
      </w:pPr>
      <w:r>
        <w:rPr>
          <w:rFonts w:ascii="Calibri" w:hAnsi="Calibri" w:eastAsia="Calibri"/>
          <w:b w:val="0"/>
          <w:sz w:val="20"/>
        </w:rPr>
        <w:t>HDFC Bank: Rs.499.00 debited from A/c XX1234 to SWIGGY via UPI. Avl Bal Rs.15000.50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Target machine-readable result</w:t>
      </w:r>
    </w:p>
    <w:p>
      <w:pPr>
        <w:spacing w:after="160" w:before="0"/>
      </w:pPr>
      <w:r>
        <w:rPr>
          <w:rFonts w:ascii="Calibri" w:hAnsi="Calibri" w:eastAsia="Calibri"/>
          <w:b w:val="0"/>
          <w:sz w:val="20"/>
        </w:rPr>
        <w:t>{"amount": 499.0, "merchant": "SWIGGY", "type": "EXPENSE", "account": "1234", "balance": 15000.5, "category": "Food"}</w:t>
      </w:r>
    </w:p>
    <w:p>
      <w:pPr>
        <w:pStyle w:val="Heading2"/>
      </w:pPr>
      <w:r>
        <w:rPr>
          <w:color w:val="0F3D3E"/>
        </w:rPr>
        <w:t>3.1 Why not only rules (regex)?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Rules are excellent for known banks — we keep them. They fail on the long tail: new banks, format changes, Indic scripts, and OTP/promo messages that must be ignored. Coaching (“Where am I overspending?”) is not a regex problem.</w:t>
      </w:r>
    </w:p>
    <w:p>
      <w:pPr>
        <w:pStyle w:val="Heading2"/>
      </w:pPr>
      <w:r>
        <w:rPr>
          <w:color w:val="0F3D3E"/>
        </w:rPr>
        <w:t>3.2 Why not only ChatGPT-in-the-cloud?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Bank SMS contains balances and account fragments. Sending every message to a cloud API creates privacy, cost, latency, and offline gaps. FinnDot’s product promise is local-first AI when the user wants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2 — Decision path: when on-device fine-tuning is the right bet</w:t>
      </w:r>
    </w:p>
    <w:p>
      <w:pPr>
        <w:pStyle w:val="Heading1"/>
      </w:pPr>
      <w:r>
        <w:rPr>
          <w:color w:val="0F3D3E"/>
        </w:rPr>
        <w:t>4. What “fine-tuning” means (for non-ML readers)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Think of a large language model as a very well-read generalist. Fine-tuning is like sending that generalist on a short, intense apprenticeship for one job — reading Indian bank SMS and answering finance questions with numbers that appear in the user’s ledger — without rewriting everything they already know.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4F3"/>
          </w:tcPr>
          <w:p>
            <w:r>
              <w:rPr>
                <w:rFonts w:ascii="Calibri" w:hAnsi="Calibri" w:eastAsia="Calibri"/>
                <w:b/>
                <w:color w:val="0F3D3E"/>
                <w:sz w:val="22"/>
              </w:rPr>
              <w:t>Analogy</w:t>
            </w:r>
          </w:p>
          <w:p>
            <w:r>
              <w:rPr>
                <w:rFonts w:ascii="Calibri" w:hAnsi="Calibri" w:eastAsia="Calibri"/>
                <w:b w:val="0"/>
                <w:sz w:val="20"/>
              </w:rPr>
              <w:t>Hiring a brilliant generalist and giving them a 5-hour bootcamp with 16,000 graded examples, instead of hiring a 200-person team or calling a consultant for every SMS.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9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lo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3 — QLoRA: freeze the base brain, train a small specialist adapter</w:t>
      </w:r>
    </w:p>
    <w:p>
      <w:pPr>
        <w:pStyle w:val="Heading2"/>
      </w:pPr>
      <w:r>
        <w:rPr>
          <w:color w:val="0F3D3E"/>
        </w:rPr>
        <w:t>4.1 Technical: QLoRA SFT (do not skip)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We used Supervised Fine-Tuning (SFT) with QLoRA on Qwen/Qwen3-1.7B (Apache 2.0). The base weights are quantized to 4-bit (NF4) during training so one NVIDIA A10G (24 GB) is enough. LoRA inserts low-rank matrices (rank 16, alpha 32) into attention and MLP projections (q, k, v, o, gate, up, down). Only those matrices train.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Knob</w:t>
            </w:r>
          </w:p>
        </w:tc>
        <w:tc>
          <w:tcPr>
            <w:tcW w:type="dxa" w:w="3264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264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Why it matters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Base model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Qwen3-1.7B Instruct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Open license + LiteRT on-device path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Method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QLoRA SFT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Cheap, reversible, low forgetting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Epochs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Enough for 16k specialized rows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LR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2e-4 cosine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Standard QLoRA SFT setting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Effective batch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16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Stable JSON formatting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Max sequence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1536 tokens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Fits coach system + SMS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Thinking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Disabled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Phone latency; SMS needs direct JSON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Checkpoint pick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Best val SMS R-EM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Not lowest train loss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Train cost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~$8 / run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Hours on g5.2xlarge, not weeks</w:t>
            </w:r>
          </w:p>
        </w:tc>
      </w:tr>
    </w:tbl>
    <w:p/>
    <w:p>
      <w:pPr>
        <w:pStyle w:val="Heading1"/>
      </w:pPr>
      <w:r>
        <w:rPr>
          <w:color w:val="0F3D3E"/>
        </w:rPr>
        <w:t>5. Product architecture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FinnAI SLM is a fallback and a coach — not a replacement for deterministic parsers on known banks.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205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0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4 — Regex first; SLM for unknown / Indic / coaching</w:t>
      </w:r>
    </w:p>
    <w:p>
      <w:pPr>
        <w:pStyle w:val="Heading1"/>
      </w:pPr>
      <w:r>
        <w:rPr>
          <w:color w:val="0F3D3E"/>
        </w:rPr>
        <w:t>6. How we did it — the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979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97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5 — Five stages from data to ship</w:t>
      </w:r>
    </w:p>
    <w:p>
      <w:pPr>
        <w:pStyle w:val="Heading2"/>
      </w:pPr>
      <w:r>
        <w:rPr>
          <w:color w:val="0F3D3E"/>
        </w:rPr>
        <w:t>6.1 Stage 1–2: Privacy-safe data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Plain English: We never trained on real customer SMS. We wrote templates that look like bank messages, filled them with fake amounts and merchants, and generated the correct JSON ourselves — so labels are free and clean.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78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6 — Training mix and data sources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188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va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8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7 — Privacy and ownership pillars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4F3"/>
          </w:tcPr>
          <w:p>
            <w:r>
              <w:rPr>
                <w:rFonts w:ascii="Calibri" w:hAnsi="Calibri" w:eastAsia="Calibri"/>
                <w:b/>
                <w:color w:val="0F3D3E"/>
                <w:sz w:val="22"/>
              </w:rPr>
              <w:t>Technical: split hygiene</w:t>
            </w:r>
          </w:p>
          <w:p>
            <w:r>
              <w:rPr>
                <w:rFonts w:ascii="Calibri" w:hAnsi="Calibri" w:eastAsia="Calibri"/>
                <w:b w:val="0"/>
                <w:sz w:val="20"/>
              </w:rPr>
              <w:t>The split unit is (bank, template_id), not a single SMS line. All amount/merchant variants of one template stay in train OR val OR test. Seed 42. Target mix train-only: 60% SMS / 25% coach / 15% general. Chat eval is a frozen 50-item set never used in SFT. Nova Pro was used only as a surface-text factory for Indic paraphrases; rows were kept only if amount/merchant/last-4/ledger digits still matched our gold.</w:t>
            </w:r>
          </w:p>
        </w:tc>
      </w:tr>
    </w:tbl>
    <w:p/>
    <w:p>
      <w:pPr>
        <w:pStyle w:val="Heading2"/>
      </w:pPr>
      <w:r>
        <w:rPr>
          <w:color w:val="0F3D3E"/>
        </w:rPr>
        <w:t>6.2 Stage 3: Training run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Hardware: AWS us-east-2 (Ohio) g5.2xlarge (1× A10G) because Mumbai GPU quota was zero at the time. v2 trained on 16,000 examples. Validation SMS R-EM stayed at 0.965 across all three epochs (stable).</w:t>
      </w:r>
    </w:p>
    <w:p>
      <w:pPr>
        <w:pStyle w:val="Heading2"/>
      </w:pPr>
      <w:r>
        <w:rPr>
          <w:color w:val="0F3D3E"/>
        </w:rPr>
        <w:t>6.3 Stage 4: Evaluation — ship gates frozen first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Plain English: Before looking at final scores, we wrote the pass/fail rules. That stops “it looks good enough” bias.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Gate</w:t>
            </w:r>
          </w:p>
        </w:tc>
        <w:tc>
          <w:tcPr>
            <w:tcW w:type="dxa" w:w="3264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3264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v2 result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1. SMS R-EM lift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≥ +3 pp vs Qwen3-base, CI excludes 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Pass (+69.8 pp)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2. Amount EM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Drop vs base ≤ 1 pp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Pass (+16.7 pp)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3. Chat groundedness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Drop vs base ≤ 5 pp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Pass (+42 pp)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4. JSON valid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≥ 95%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Pass (100%)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5. On-device cost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TTFT/RSS ≤ 1.3× old model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Pending device bench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RQ3 product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R-EM ≥ Qwen2.5-1.5B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Pass (97.97 &gt; 42.43)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4F3"/>
          </w:tcPr>
          <w:p>
            <w:r>
              <w:rPr>
                <w:rFonts w:ascii="Calibri" w:hAnsi="Calibri" w:eastAsia="Calibri"/>
                <w:b/>
                <w:color w:val="0F3D3E"/>
                <w:sz w:val="22"/>
              </w:rPr>
              <w:t>Technical: primary metric</w:t>
            </w:r>
          </w:p>
          <w:p>
            <w:r>
              <w:rPr>
                <w:rFonts w:ascii="Calibri" w:hAnsi="Calibri" w:eastAsia="Calibri"/>
                <w:b w:val="0"/>
                <w:sz w:val="20"/>
              </w:rPr>
              <w:t>Strict Record Exact-Match (R-EM) requires amount + type + merchant + account last-4 + balance all correct (or {} for non-transactions). We also report amount EM, merchant exact, field micro-F1, false-parse rate, bootstrap 95% CIs (10k resamples), and McNemar p vs base.</w:t>
            </w:r>
          </w:p>
        </w:tc>
      </w:tr>
    </w:tbl>
    <w:p/>
    <w:p>
      <w:pPr>
        <w:pStyle w:val="Heading2"/>
      </w:pPr>
      <w:r>
        <w:rPr>
          <w:color w:val="0F3D3E"/>
        </w:rPr>
        <w:t>6.4 Stage 5: On-device + open source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Production path: merge LoRA → export INT4 LiteRT-LM (~0.9 GB) → CloudFront for the app. Scientific copy: Hugging Face model + dataset + GitHub toolkit so others can reproduce or adapt.</w:t>
      </w:r>
    </w:p>
    <w:p>
      <w:pPr>
        <w:pStyle w:val="Heading1"/>
      </w:pPr>
      <w:r>
        <w:rPr>
          <w:color w:val="0F3D3E"/>
        </w:rPr>
        <w:t>7. Results that matter to the business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448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FinnAI v2</w:t>
            </w:r>
          </w:p>
        </w:tc>
        <w:tc>
          <w:tcPr>
            <w:tcW w:type="dxa" w:w="2448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v1</w:t>
            </w:r>
          </w:p>
        </w:tc>
        <w:tc>
          <w:tcPr>
            <w:tcW w:type="dxa" w:w="2448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Qwen3 base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SMS R-EM %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97.97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92.75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28.16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Amount EM %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99.53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94.60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82.84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Merchant exact %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98.21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93.12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61.31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False-parse % (lower better)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0.54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28.57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100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Chat groundedness %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68.0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32.0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26.0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Business reading: v2 almost eliminated “OTP treated as a payment” style mistakes (false-parse 28% → 0.5%) and more than doubled grounded coach answers. That is user trust, not just a leaderboard number.</w:t>
      </w:r>
    </w:p>
    <w:p>
      <w:pPr>
        <w:pStyle w:val="Heading1"/>
      </w:pPr>
      <w:r>
        <w:rPr>
          <w:color w:val="0F3D3E"/>
        </w:rPr>
        <w:t>8. Cost &amp; time (CXO 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96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Approx. cost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One train run (g5.2xlarge ~5h)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~$7–8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Held-out eval (~3 models)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~$6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Indic data expansion (Nova API)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~$2–3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Full v1+v2 project incl. debug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~$40–50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Annotation army / user SMS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$0 (not used)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Contrast: continuous cloud LLM calls for every SMS across a growing user base would be a recurring OpEx line. On-device inference after download is effectively free per message at the API layer.</w:t>
      </w:r>
    </w:p>
    <w:p>
      <w:pPr>
        <w:pStyle w:val="Heading1"/>
      </w:pPr>
      <w:r>
        <w:rPr>
          <w:color w:val="0F3D3E"/>
        </w:rPr>
        <w:t>9. What we open-sourced (and why)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Open-sourcing builds trust, invites bank/locale contributions, and lets researchers reproduce the gates. Because training data is synthetic and the base model is Apache 2.0, redistribution is clean.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4896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Model (bf16 + adapter)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https://huggingface.co/finndot/finnai-slm-v2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https://huggingface.co/datasets/finndot/finnai-slm-data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Code + docs toolkit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https://github.com/arunbhatg/finnai-slm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Product app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https://github.com/devaka207/Finndot</w:t>
            </w:r>
          </w:p>
        </w:tc>
      </w:tr>
    </w:tbl>
    <w:p/>
    <w:p>
      <w:pPr>
        <w:pStyle w:val="Heading1"/>
      </w:pPr>
      <w:r>
        <w:rPr>
          <w:color w:val="0F3D3E"/>
        </w:rPr>
        <w:t>10. Limitations &amp; residual risks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• Optimized for Indian banking SMS — not a general global SMS model.</w:t>
        <w:br/>
        <w:t>• Merchant strings remain the hardest field; regex still wins on supported banks.</w:t>
        <w:br/>
        <w:t>• Chat groundedness at 68% is good vs base but not perfect — coaching can still paraphrase figures.</w:t>
        <w:br/>
        <w:t>• On-device gate (TTFT / memory on mid-range phones) must be measured on hardware before calling INT4 “fully shipped”.</w:t>
        <w:br/>
        <w:t>• Templates cannot cover every NPCI variant overnight; monitoring unrecognized SMS still matters.</w:t>
      </w:r>
    </w:p>
    <w:p>
      <w:pPr>
        <w:pStyle w:val="Heading1"/>
      </w:pPr>
      <w:r>
        <w:rPr>
          <w:color w:val="0F3D3E"/>
        </w:rPr>
        <w:t>11. What good looks like next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1. Complete on-device INT4 bench and point the app MODEL_URL at CloudFront when gate 5 passes.</w:t>
        <w:br/>
        <w:t>2. Keep expanding Indic + long-tail banks via synthetic templates (not user dumps).</w:t>
        <w:br/>
        <w:t>3. Invite community PRs on the public toolkit for new locales.</w:t>
        <w:br/>
        <w:t>4. Reuse the same playbook for adjacent on-device extraction jobs (receipts, invoices) where privacy matters.</w:t>
      </w:r>
    </w:p>
    <w:p>
      <w:pPr>
        <w:pStyle w:val="Heading1"/>
      </w:pPr>
      <w:r>
        <w:rPr>
          <w:color w:val="0F3D3E"/>
        </w:rPr>
        <w:t>Appendix A —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4896"/>
            <w:shd w:fill="0F3D3E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Plain meaning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LLM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Large Language Model — software that predicts text (ChatGPT-class systems)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SLM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Small Language Model — same idea, small enough for a phone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Fine-tuning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Extra training so a base model specializes for your task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QLoRA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Efficient fine-tuning: freeze big model, train tiny adapter in 4-bit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SFT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Supervised Fine-Tuning — learn from input→correct output pairs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R-EM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Strict Record Exact-Match — all key SMS fields correct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Groundedness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Every number in the answer appears in the provided ledger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INT4 / LiteRT-LM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Compressed on-device format used by the Android runtime</w:t>
            </w:r>
          </w:p>
        </w:tc>
      </w:tr>
    </w:tbl>
    <w:p/>
    <w:p>
      <w:pPr>
        <w:pStyle w:val="Heading1"/>
      </w:pPr>
      <w:r>
        <w:rPr>
          <w:color w:val="0F3D3E"/>
        </w:rPr>
        <w:t>Appendix B — Technical hyperparameter snapshot</w:t>
      </w:r>
    </w:p>
    <w:p>
      <w:pPr>
        <w:spacing w:after="160" w:before="0"/>
      </w:pPr>
      <w:r>
        <w:rPr>
          <w:rFonts w:ascii="Calibri" w:hAnsi="Calibri" w:eastAsia="Calibri"/>
          <w:b w:val="0"/>
          <w:sz w:val="20"/>
        </w:rPr>
        <w:t>Base Qwen/Qwen3-1.7B; QLoRA NF4 double-quant bf16 compute; LoRA r=16 α=32 dropout 0.05; targets q/k/v/o/gate/up/down_proj; 3 epochs; lr 2e-4 cosine 3% warmup; batch 2× accum 8; max len 1536; packing off; seed 42; greedy decode at eval; thinking off.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