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i w:val="0"/>
          <w:sz w:val="52"/>
        </w:rPr>
        <w:t>FinnAI SLM</w:t>
      </w:r>
    </w:p>
    <w:p>
      <w:pPr>
        <w:jc w:val="center"/>
      </w:pPr>
      <w:r>
        <w:rPr>
          <w:rFonts w:ascii="Calibri" w:hAnsi="Calibri" w:eastAsia="Calibri"/>
          <w:b w:val="0"/>
          <w:i w:val="0"/>
          <w:color w:val="333333"/>
          <w:sz w:val="26"/>
        </w:rPr>
        <w:t>How we taught a phone-sized model to read bank SMS</w:t>
      </w:r>
    </w:p>
    <w:p>
      <w:pPr>
        <w:jc w:val="center"/>
      </w:pPr>
      <w:r>
        <w:rPr>
          <w:rFonts w:ascii="Calibri" w:hAnsi="Calibri" w:eastAsia="Calibri"/>
          <w:b w:val="0"/>
          <w:i w:val="0"/>
          <w:color w:val="666666"/>
          <w:sz w:val="18"/>
        </w:rPr>
        <w:t>FinnDot · 2026</w:t>
        <w:br/>
        <w:t>Model — huggingface.co/finndot/finnai-slm-v2</w:t>
        <w:br/>
        <w:t>Data — huggingface.co/datasets/finndot/finnai-slm-data</w:t>
        <w:br/>
        <w:t>Code — github.com/arunbhatg/finnai-slm</w:t>
      </w:r>
    </w:p>
    <w:p/>
    <w:p>
      <w:pPr>
        <w:pStyle w:val="Heading1"/>
      </w:pPr>
      <w:r>
        <w:rPr>
          <w:color w:val="1A1A1A"/>
        </w:rPr>
        <w:t>In short</w:t>
      </w:r>
    </w:p>
    <w:p>
      <w:pPr>
        <w:spacing w:after="160" w:before="0"/>
      </w:pPr>
      <w:r>
        <w:rPr>
          <w:rFonts w:ascii="Calibri" w:hAnsi="Calibri" w:eastAsia="Calibri"/>
          <w:b w:val="0"/>
          <w:i w:val="0"/>
          <w:sz w:val="22"/>
        </w:rPr>
        <w:t>FinnDot reads bank SMS and logs expenses. For banks we already know, we use hand-written parsers. For everything else — new formats, Hindi/Hinglish texts, and “where did my money go?” questions — we needed a small language model that runs on the phone.</w:t>
      </w:r>
    </w:p>
    <w:p>
      <w:pPr>
        <w:spacing w:after="160" w:before="0"/>
      </w:pPr>
      <w:r>
        <w:rPr>
          <w:rFonts w:ascii="Calibri" w:hAnsi="Calibri" w:eastAsia="Calibri"/>
          <w:b w:val="0"/>
          <w:i w:val="0"/>
          <w:sz w:val="22"/>
        </w:rPr>
        <w:t>We started from an open model (Qwen3, 1.7B parameters) and fine-tuned it on synthetic data only. No real user SMS. On a held-out test, full-field SMS accuracy went from about 28% (untuned) to about 98% (FinnAI v2).</w:t>
      </w:r>
    </w:p>
    <w:p>
      <w:pPr>
        <w:jc w:val="center"/>
      </w:pPr>
      <w:r>
        <w:drawing>
          <wp:inline xmlns:a="http://schemas.openxmlformats.org/drawingml/2006/main" xmlns:pic="http://schemas.openxmlformats.org/drawingml/2006/picture">
            <wp:extent cx="5486400" cy="2542584"/>
            <wp:docPr id="1" name="Picture 1"/>
            <wp:cNvGraphicFramePr>
              <a:graphicFrameLocks noChangeAspect="1"/>
            </wp:cNvGraphicFramePr>
            <a:graphic>
              <a:graphicData uri="http://schemas.openxmlformats.org/drawingml/2006/picture">
                <pic:pic>
                  <pic:nvPicPr>
                    <pic:cNvPr id="0" name="results.png"/>
                    <pic:cNvPicPr/>
                  </pic:nvPicPr>
                  <pic:blipFill>
                    <a:blip r:embed="rId9"/>
                    <a:stretch>
                      <a:fillRect/>
                    </a:stretch>
                  </pic:blipFill>
                  <pic:spPr>
                    <a:xfrm>
                      <a:off x="0" y="0"/>
                      <a:ext cx="5486400" cy="2542584"/>
                    </a:xfrm>
                    <a:prstGeom prst="rect"/>
                  </pic:spPr>
                </pic:pic>
              </a:graphicData>
            </a:graphic>
          </wp:inline>
        </w:drawing>
      </w:r>
    </w:p>
    <w:p>
      <w:pPr>
        <w:jc w:val="center"/>
      </w:pPr>
      <w:r>
        <w:rPr>
          <w:rFonts w:ascii="Calibri" w:hAnsi="Calibri" w:eastAsia="Calibri"/>
          <w:b w:val="0"/>
          <w:i/>
          <w:color w:val="666666"/>
          <w:sz w:val="18"/>
        </w:rPr>
        <w:t>Figure 1. Same test set, four models.</w:t>
      </w:r>
    </w:p>
    <w:p>
      <w:pPr>
        <w:pStyle w:val="Heading1"/>
      </w:pPr>
      <w:r>
        <w:rPr>
          <w:color w:val="1A1A1A"/>
        </w:rPr>
        <w:t>The problem we were solving</w:t>
      </w:r>
    </w:p>
    <w:p>
      <w:pPr>
        <w:spacing w:after="160" w:before="0"/>
      </w:pPr>
      <w:r>
        <w:rPr>
          <w:rFonts w:ascii="Calibri" w:hAnsi="Calibri" w:eastAsia="Calibri"/>
          <w:b w:val="0"/>
          <w:i w:val="0"/>
          <w:sz w:val="22"/>
        </w:rPr>
        <w:t>A bank text looks like this:</w:t>
      </w:r>
    </w:p>
    <w:p>
      <w:pPr>
        <w:spacing w:after="200"/>
      </w:pPr>
      <w:r>
        <w:rPr>
          <w:rFonts w:ascii="Calibri" w:hAnsi="Calibri" w:eastAsia="Calibri"/>
          <w:b w:val="0"/>
          <w:i/>
          <w:color w:val="444444"/>
          <w:sz w:val="20"/>
        </w:rPr>
        <w:t>HDFC Bank: Rs.499.00 debited from A/c XX1234 to SWIGGY via UPI. Avl Bal Rs.15000.50</w:t>
      </w:r>
    </w:p>
    <w:p>
      <w:pPr>
        <w:spacing w:after="160" w:before="0"/>
      </w:pPr>
      <w:r>
        <w:rPr>
          <w:rFonts w:ascii="Calibri" w:hAnsi="Calibri" w:eastAsia="Calibri"/>
          <w:b w:val="0"/>
          <w:i w:val="0"/>
          <w:sz w:val="22"/>
        </w:rPr>
        <w:t>We need this:</w:t>
      </w:r>
    </w:p>
    <w:p>
      <w:pPr>
        <w:spacing w:after="200"/>
      </w:pPr>
      <w:r>
        <w:rPr>
          <w:rFonts w:ascii="Calibri" w:hAnsi="Calibri" w:eastAsia="Calibri"/>
          <w:b w:val="0"/>
          <w:i/>
          <w:color w:val="444444"/>
          <w:sz w:val="20"/>
        </w:rPr>
        <w:t>{"amount": 499.0, "merchant": "SWIGGY", "type": "EXPENSE", "account": "1234", "balance": 15000.5}</w:t>
      </w:r>
    </w:p>
    <w:p>
      <w:pPr>
        <w:spacing w:after="160" w:before="0"/>
      </w:pPr>
      <w:r>
        <w:rPr>
          <w:rFonts w:ascii="Calibri" w:hAnsi="Calibri" w:eastAsia="Calibri"/>
          <w:b w:val="0"/>
          <w:i w:val="0"/>
          <w:sz w:val="22"/>
        </w:rPr>
        <w:t>Rules work great when the format is known. They break when the bank changes wording, the message is in another language, or the text is an OTP and should be ignored. Coaching is not a regex problem at all.</w:t>
      </w:r>
    </w:p>
    <w:p>
      <w:pPr>
        <w:spacing w:after="160" w:before="0"/>
      </w:pPr>
      <w:r>
        <w:rPr>
          <w:rFonts w:ascii="Calibri" w:hAnsi="Calibri" w:eastAsia="Calibri"/>
          <w:b w:val="0"/>
          <w:i w:val="0"/>
          <w:sz w:val="22"/>
        </w:rPr>
        <w:t>Cloud chat APIs could do the job, but bank SMS has balances and account fragments. We did not want that traffic leaving the device for this path. Local model, download once, run offline.</w:t>
      </w:r>
    </w:p>
    <w:p>
      <w:pPr>
        <w:pStyle w:val="Heading1"/>
      </w:pPr>
      <w:r>
        <w:rPr>
          <w:color w:val="1A1A1A"/>
        </w:rPr>
        <w:t>What “fine-tuning” means here</w:t>
      </w:r>
    </w:p>
    <w:p>
      <w:pPr>
        <w:spacing w:after="160" w:before="0"/>
      </w:pPr>
      <w:r>
        <w:rPr>
          <w:rFonts w:ascii="Calibri" w:hAnsi="Calibri" w:eastAsia="Calibri"/>
          <w:b w:val="0"/>
          <w:i w:val="0"/>
          <w:sz w:val="22"/>
        </w:rPr>
        <w:t>If you only use ChatGPT as a product: fine-tuning is not “make a new ChatGPT.” It is taking a general model that already speaks language, and teaching it one job with many graded examples.</w:t>
      </w:r>
    </w:p>
    <w:p>
      <w:pPr>
        <w:spacing w:after="160" w:before="0"/>
      </w:pPr>
      <w:r>
        <w:rPr>
          <w:rFonts w:ascii="Calibri" w:hAnsi="Calibri" w:eastAsia="Calibri"/>
          <w:b w:val="0"/>
          <w:i w:val="0"/>
          <w:sz w:val="22"/>
        </w:rPr>
        <w:t>We used QLoRA — keep the big model frozen, train a thin adapter (~67 MB). Cheaper than full retraining, less chance of wiping general ability, fits on a single modern GPU.</w:t>
      </w:r>
    </w:p>
    <w:p>
      <w:pPr>
        <w:jc w:val="center"/>
      </w:pPr>
      <w:r>
        <w:drawing>
          <wp:inline xmlns:a="http://schemas.openxmlformats.org/drawingml/2006/main" xmlns:pic="http://schemas.openxmlformats.org/drawingml/2006/picture">
            <wp:extent cx="5486400" cy="2155649"/>
            <wp:docPr id="2" name="Picture 2"/>
            <wp:cNvGraphicFramePr>
              <a:graphicFrameLocks noChangeAspect="1"/>
            </wp:cNvGraphicFramePr>
            <a:graphic>
              <a:graphicData uri="http://schemas.openxmlformats.org/drawingml/2006/picture">
                <pic:pic>
                  <pic:nvPicPr>
                    <pic:cNvPr id="0" name="qlora.png"/>
                    <pic:cNvPicPr/>
                  </pic:nvPicPr>
                  <pic:blipFill>
                    <a:blip r:embed="rId10"/>
                    <a:stretch>
                      <a:fillRect/>
                    </a:stretch>
                  </pic:blipFill>
                  <pic:spPr>
                    <a:xfrm>
                      <a:off x="0" y="0"/>
                      <a:ext cx="5486400" cy="2155649"/>
                    </a:xfrm>
                    <a:prstGeom prst="rect"/>
                  </pic:spPr>
                </pic:pic>
              </a:graphicData>
            </a:graphic>
          </wp:inline>
        </w:drawing>
      </w:r>
    </w:p>
    <w:p>
      <w:pPr>
        <w:jc w:val="center"/>
      </w:pPr>
      <w:r>
        <w:rPr>
          <w:rFonts w:ascii="Calibri" w:hAnsi="Calibri" w:eastAsia="Calibri"/>
          <w:b w:val="0"/>
          <w:i/>
          <w:color w:val="666666"/>
          <w:sz w:val="18"/>
        </w:rPr>
        <w:t>Figure 2. Adapter on top of a frozen base.</w:t>
      </w:r>
    </w:p>
    <w:p>
      <w:pPr>
        <w:pStyle w:val="Heading2"/>
      </w:pPr>
      <w:r>
        <w:rPr>
          <w:color w:val="1A1A1A"/>
        </w:rPr>
        <w:t>Settings that mattered</w:t>
      </w:r>
    </w:p>
    <w:tbl>
      <w:tblPr>
        <w:tblStyle w:val="TableGrid"/>
        <w:tblW w:type="auto" w:w="0"/>
        <w:tblLook w:firstColumn="1" w:firstRow="1" w:lastColumn="0" w:lastRow="0" w:noHBand="0" w:noVBand="1" w:val="04A0"/>
      </w:tblPr>
      <w:tblGrid>
        <w:gridCol w:w="3216"/>
        <w:gridCol w:w="3216"/>
        <w:gridCol w:w="3216"/>
      </w:tblGrid>
      <w:tr>
        <w:tc>
          <w:tcPr>
            <w:tcW w:type="dxa" w:w="3216"/>
            <w:shd w:fill="1A1A1A"/>
          </w:tcPr>
          <w:p>
            <w:r/>
            <w:r>
              <w:rPr>
                <w:rFonts w:ascii="Calibri" w:hAnsi="Calibri" w:eastAsia="Calibri"/>
                <w:b/>
                <w:i w:val="0"/>
                <w:color w:val="FFFFFF"/>
                <w:sz w:val="20"/>
              </w:rPr>
              <w:t>Choice</w:t>
            </w:r>
          </w:p>
        </w:tc>
        <w:tc>
          <w:tcPr>
            <w:tcW w:type="dxa" w:w="3216"/>
            <w:shd w:fill="1A1A1A"/>
          </w:tcPr>
          <w:p>
            <w:r/>
            <w:r>
              <w:rPr>
                <w:rFonts w:ascii="Calibri" w:hAnsi="Calibri" w:eastAsia="Calibri"/>
                <w:b/>
                <w:i w:val="0"/>
                <w:color w:val="FFFFFF"/>
                <w:sz w:val="20"/>
              </w:rPr>
              <w:t>What we used</w:t>
            </w:r>
          </w:p>
        </w:tc>
        <w:tc>
          <w:tcPr>
            <w:tcW w:type="dxa" w:w="3216"/>
            <w:shd w:fill="1A1A1A"/>
          </w:tcPr>
          <w:p>
            <w:r/>
            <w:r>
              <w:rPr>
                <w:rFonts w:ascii="Calibri" w:hAnsi="Calibri" w:eastAsia="Calibri"/>
                <w:b/>
                <w:i w:val="0"/>
                <w:color w:val="FFFFFF"/>
                <w:sz w:val="20"/>
              </w:rPr>
              <w:t>Why</w:t>
            </w:r>
          </w:p>
        </w:tc>
      </w:tr>
      <w:tr>
        <w:tc>
          <w:tcPr>
            <w:tcW w:type="dxa" w:w="3216"/>
          </w:tcPr>
          <w:p>
            <w:r/>
            <w:r>
              <w:rPr>
                <w:rFonts w:ascii="Calibri" w:hAnsi="Calibri" w:eastAsia="Calibri"/>
                <w:b w:val="0"/>
                <w:i w:val="0"/>
                <w:sz w:val="20"/>
              </w:rPr>
              <w:t>Base</w:t>
            </w:r>
          </w:p>
        </w:tc>
        <w:tc>
          <w:tcPr>
            <w:tcW w:type="dxa" w:w="3216"/>
          </w:tcPr>
          <w:p>
            <w:r/>
            <w:r>
              <w:rPr>
                <w:rFonts w:ascii="Calibri" w:hAnsi="Calibri" w:eastAsia="Calibri"/>
                <w:b w:val="0"/>
                <w:i w:val="0"/>
                <w:sz w:val="20"/>
              </w:rPr>
              <w:t>Qwen3-1.7B</w:t>
            </w:r>
          </w:p>
        </w:tc>
        <w:tc>
          <w:tcPr>
            <w:tcW w:type="dxa" w:w="3216"/>
          </w:tcPr>
          <w:p>
            <w:r/>
            <w:r>
              <w:rPr>
                <w:rFonts w:ascii="Calibri" w:hAnsi="Calibri" w:eastAsia="Calibri"/>
                <w:b w:val="0"/>
                <w:i w:val="0"/>
                <w:sz w:val="20"/>
              </w:rPr>
              <w:t>Open license, small enough for phones</w:t>
            </w:r>
          </w:p>
        </w:tc>
      </w:tr>
      <w:tr>
        <w:tc>
          <w:tcPr>
            <w:tcW w:type="dxa" w:w="3216"/>
          </w:tcPr>
          <w:p>
            <w:r/>
            <w:r>
              <w:rPr>
                <w:rFonts w:ascii="Calibri" w:hAnsi="Calibri" w:eastAsia="Calibri"/>
                <w:b w:val="0"/>
                <w:i w:val="0"/>
                <w:sz w:val="20"/>
              </w:rPr>
              <w:t>Method</w:t>
            </w:r>
          </w:p>
        </w:tc>
        <w:tc>
          <w:tcPr>
            <w:tcW w:type="dxa" w:w="3216"/>
          </w:tcPr>
          <w:p>
            <w:r/>
            <w:r>
              <w:rPr>
                <w:rFonts w:ascii="Calibri" w:hAnsi="Calibri" w:eastAsia="Calibri"/>
                <w:b w:val="0"/>
                <w:i w:val="0"/>
                <w:sz w:val="20"/>
              </w:rPr>
              <w:t>QLoRA SFT</w:t>
            </w:r>
          </w:p>
        </w:tc>
        <w:tc>
          <w:tcPr>
            <w:tcW w:type="dxa" w:w="3216"/>
          </w:tcPr>
          <w:p>
            <w:r/>
            <w:r>
              <w:rPr>
                <w:rFonts w:ascii="Calibri" w:hAnsi="Calibri" w:eastAsia="Calibri"/>
                <w:b w:val="0"/>
                <w:i w:val="0"/>
                <w:sz w:val="20"/>
              </w:rPr>
              <w:t>Specialise without full retrain</w:t>
            </w:r>
          </w:p>
        </w:tc>
      </w:tr>
      <w:tr>
        <w:tc>
          <w:tcPr>
            <w:tcW w:type="dxa" w:w="3216"/>
          </w:tcPr>
          <w:p>
            <w:r/>
            <w:r>
              <w:rPr>
                <w:rFonts w:ascii="Calibri" w:hAnsi="Calibri" w:eastAsia="Calibri"/>
                <w:b w:val="0"/>
                <w:i w:val="0"/>
                <w:sz w:val="20"/>
              </w:rPr>
              <w:t>LoRA rank</w:t>
            </w:r>
          </w:p>
        </w:tc>
        <w:tc>
          <w:tcPr>
            <w:tcW w:type="dxa" w:w="3216"/>
          </w:tcPr>
          <w:p>
            <w:r/>
            <w:r>
              <w:rPr>
                <w:rFonts w:ascii="Calibri" w:hAnsi="Calibri" w:eastAsia="Calibri"/>
                <w:b w:val="0"/>
                <w:i w:val="0"/>
                <w:sz w:val="20"/>
              </w:rPr>
              <w:t>16</w:t>
            </w:r>
          </w:p>
        </w:tc>
        <w:tc>
          <w:tcPr>
            <w:tcW w:type="dxa" w:w="3216"/>
          </w:tcPr>
          <w:p>
            <w:r/>
            <w:r>
              <w:rPr>
                <w:rFonts w:ascii="Calibri" w:hAnsi="Calibri" w:eastAsia="Calibri"/>
                <w:b w:val="0"/>
                <w:i w:val="0"/>
                <w:sz w:val="20"/>
              </w:rPr>
              <w:t>Enough for JSON style; larger did not help</w:t>
            </w:r>
          </w:p>
        </w:tc>
      </w:tr>
      <w:tr>
        <w:tc>
          <w:tcPr>
            <w:tcW w:type="dxa" w:w="3216"/>
          </w:tcPr>
          <w:p>
            <w:r/>
            <w:r>
              <w:rPr>
                <w:rFonts w:ascii="Calibri" w:hAnsi="Calibri" w:eastAsia="Calibri"/>
                <w:b w:val="0"/>
                <w:i w:val="0"/>
                <w:sz w:val="20"/>
              </w:rPr>
              <w:t>Epochs</w:t>
            </w:r>
          </w:p>
        </w:tc>
        <w:tc>
          <w:tcPr>
            <w:tcW w:type="dxa" w:w="3216"/>
          </w:tcPr>
          <w:p>
            <w:r/>
            <w:r>
              <w:rPr>
                <w:rFonts w:ascii="Calibri" w:hAnsi="Calibri" w:eastAsia="Calibri"/>
                <w:b w:val="0"/>
                <w:i w:val="0"/>
                <w:sz w:val="20"/>
              </w:rPr>
              <w:t>3</w:t>
            </w:r>
          </w:p>
        </w:tc>
        <w:tc>
          <w:tcPr>
            <w:tcW w:type="dxa" w:w="3216"/>
          </w:tcPr>
          <w:p>
            <w:r/>
            <w:r>
              <w:rPr>
                <w:rFonts w:ascii="Calibri" w:hAnsi="Calibri" w:eastAsia="Calibri"/>
                <w:b w:val="0"/>
                <w:i w:val="0"/>
                <w:sz w:val="20"/>
              </w:rPr>
              <w:t>16k examples; more started to overfit patterns</w:t>
            </w:r>
          </w:p>
        </w:tc>
      </w:tr>
      <w:tr>
        <w:tc>
          <w:tcPr>
            <w:tcW w:type="dxa" w:w="3216"/>
          </w:tcPr>
          <w:p>
            <w:r/>
            <w:r>
              <w:rPr>
                <w:rFonts w:ascii="Calibri" w:hAnsi="Calibri" w:eastAsia="Calibri"/>
                <w:b w:val="0"/>
                <w:i w:val="0"/>
                <w:sz w:val="20"/>
              </w:rPr>
              <w:t>Pick checkpoint by</w:t>
            </w:r>
          </w:p>
        </w:tc>
        <w:tc>
          <w:tcPr>
            <w:tcW w:type="dxa" w:w="3216"/>
          </w:tcPr>
          <w:p>
            <w:r/>
            <w:r>
              <w:rPr>
                <w:rFonts w:ascii="Calibri" w:hAnsi="Calibri" w:eastAsia="Calibri"/>
                <w:b w:val="0"/>
                <w:i w:val="0"/>
                <w:sz w:val="20"/>
              </w:rPr>
              <w:t>Val SMS exact-match</w:t>
            </w:r>
          </w:p>
        </w:tc>
        <w:tc>
          <w:tcPr>
            <w:tcW w:type="dxa" w:w="3216"/>
          </w:tcPr>
          <w:p>
            <w:r/>
            <w:r>
              <w:rPr>
                <w:rFonts w:ascii="Calibri" w:hAnsi="Calibri" w:eastAsia="Calibri"/>
                <w:b w:val="0"/>
                <w:i w:val="0"/>
                <w:sz w:val="20"/>
              </w:rPr>
              <w:t>Loss alone lied to us before</w:t>
            </w:r>
          </w:p>
        </w:tc>
      </w:tr>
      <w:tr>
        <w:tc>
          <w:tcPr>
            <w:tcW w:type="dxa" w:w="3216"/>
          </w:tcPr>
          <w:p>
            <w:r/>
            <w:r>
              <w:rPr>
                <w:rFonts w:ascii="Calibri" w:hAnsi="Calibri" w:eastAsia="Calibri"/>
                <w:b w:val="0"/>
                <w:i w:val="0"/>
                <w:sz w:val="20"/>
              </w:rPr>
              <w:t>Thinking / chain-of-thought</w:t>
            </w:r>
          </w:p>
        </w:tc>
        <w:tc>
          <w:tcPr>
            <w:tcW w:type="dxa" w:w="3216"/>
          </w:tcPr>
          <w:p>
            <w:r/>
            <w:r>
              <w:rPr>
                <w:rFonts w:ascii="Calibri" w:hAnsi="Calibri" w:eastAsia="Calibri"/>
                <w:b w:val="0"/>
                <w:i w:val="0"/>
                <w:sz w:val="20"/>
              </w:rPr>
              <w:t>Off</w:t>
            </w:r>
          </w:p>
        </w:tc>
        <w:tc>
          <w:tcPr>
            <w:tcW w:type="dxa" w:w="3216"/>
          </w:tcPr>
          <w:p>
            <w:r/>
            <w:r>
              <w:rPr>
                <w:rFonts w:ascii="Calibri" w:hAnsi="Calibri" w:eastAsia="Calibri"/>
                <w:b w:val="0"/>
                <w:i w:val="0"/>
                <w:sz w:val="20"/>
              </w:rPr>
              <w:t>Phone needs a fast JSON answer</w:t>
            </w:r>
          </w:p>
        </w:tc>
      </w:tr>
    </w:tbl>
    <w:p/>
    <w:p>
      <w:pPr>
        <w:pStyle w:val="Heading1"/>
      </w:pPr>
      <w:r>
        <w:rPr>
          <w:color w:val="1A1A1A"/>
        </w:rPr>
        <w:t>Where it sits in the app</w:t>
      </w:r>
    </w:p>
    <w:p>
      <w:pPr>
        <w:jc w:val="center"/>
      </w:pPr>
      <w:r>
        <w:drawing>
          <wp:inline xmlns:a="http://schemas.openxmlformats.org/drawingml/2006/main" xmlns:pic="http://schemas.openxmlformats.org/drawingml/2006/picture">
            <wp:extent cx="5486400" cy="2505844"/>
            <wp:docPr id="3" name="Picture 3"/>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486400" cy="2505844"/>
                    </a:xfrm>
                    <a:prstGeom prst="rect"/>
                  </pic:spPr>
                </pic:pic>
              </a:graphicData>
            </a:graphic>
          </wp:inline>
        </w:drawing>
      </w:r>
    </w:p>
    <w:p>
      <w:pPr>
        <w:jc w:val="center"/>
      </w:pPr>
      <w:r>
        <w:rPr>
          <w:rFonts w:ascii="Calibri" w:hAnsi="Calibri" w:eastAsia="Calibri"/>
          <w:b w:val="0"/>
          <w:i/>
          <w:color w:val="666666"/>
          <w:sz w:val="18"/>
        </w:rPr>
        <w:t>Figure 3. Parsers first. Model for the rest.</w:t>
      </w:r>
    </w:p>
    <w:p>
      <w:pPr>
        <w:spacing w:after="160" w:before="0"/>
      </w:pPr>
      <w:r>
        <w:rPr>
          <w:rFonts w:ascii="Calibri" w:hAnsi="Calibri" w:eastAsia="Calibri"/>
          <w:b w:val="0"/>
          <w:i w:val="0"/>
          <w:sz w:val="22"/>
        </w:rPr>
        <w:t>We did not throw away the 35+ bank parsers. The model is the long-tail and the coach.</w:t>
      </w:r>
    </w:p>
    <w:p>
      <w:pPr>
        <w:pStyle w:val="Heading1"/>
      </w:pPr>
      <w:r>
        <w:rPr>
          <w:color w:val="1A1A1A"/>
        </w:rPr>
        <w:t>How we did it</w:t>
      </w:r>
    </w:p>
    <w:p>
      <w:pPr>
        <w:jc w:val="center"/>
      </w:pPr>
      <w:r>
        <w:drawing>
          <wp:inline xmlns:a="http://schemas.openxmlformats.org/drawingml/2006/main" xmlns:pic="http://schemas.openxmlformats.org/drawingml/2006/picture">
            <wp:extent cx="5669280" cy="1904297"/>
            <wp:docPr id="4" name="Picture 4"/>
            <wp:cNvGraphicFramePr>
              <a:graphicFrameLocks noChangeAspect="1"/>
            </wp:cNvGraphicFramePr>
            <a:graphic>
              <a:graphicData uri="http://schemas.openxmlformats.org/drawingml/2006/picture">
                <pic:pic>
                  <pic:nvPicPr>
                    <pic:cNvPr id="0" name="pipeline.png"/>
                    <pic:cNvPicPr/>
                  </pic:nvPicPr>
                  <pic:blipFill>
                    <a:blip r:embed="rId12"/>
                    <a:stretch>
                      <a:fillRect/>
                    </a:stretch>
                  </pic:blipFill>
                  <pic:spPr>
                    <a:xfrm>
                      <a:off x="0" y="0"/>
                      <a:ext cx="5669280" cy="1904297"/>
                    </a:xfrm>
                    <a:prstGeom prst="rect"/>
                  </pic:spPr>
                </pic:pic>
              </a:graphicData>
            </a:graphic>
          </wp:inline>
        </w:drawing>
      </w:r>
    </w:p>
    <w:p>
      <w:pPr>
        <w:jc w:val="center"/>
      </w:pPr>
      <w:r>
        <w:rPr>
          <w:rFonts w:ascii="Calibri" w:hAnsi="Calibri" w:eastAsia="Calibri"/>
          <w:b w:val="0"/>
          <w:i/>
          <w:color w:val="666666"/>
          <w:sz w:val="18"/>
        </w:rPr>
        <w:t>Figure 4. End to end.</w:t>
      </w:r>
    </w:p>
    <w:p>
      <w:pPr>
        <w:pStyle w:val="Heading2"/>
      </w:pPr>
      <w:r>
        <w:rPr>
          <w:color w:val="1A1A1A"/>
        </w:rPr>
        <w:t>Data</w:t>
      </w:r>
    </w:p>
    <w:p>
      <w:pPr>
        <w:spacing w:after="160" w:before="0"/>
      </w:pPr>
      <w:r>
        <w:rPr>
          <w:rFonts w:ascii="Calibri" w:hAnsi="Calibri" w:eastAsia="Calibri"/>
          <w:b w:val="0"/>
          <w:i w:val="0"/>
          <w:sz w:val="22"/>
        </w:rPr>
        <w:t>All training SMS are synthetic: templates with fake amounts and merchants. We know the correct JSON because we generated the text. Coach answers are tied to fake ledgers so every rupee in the reply must appear in the prompt.</w:t>
      </w:r>
    </w:p>
    <w:p>
      <w:pPr>
        <w:jc w:val="center"/>
      </w:pPr>
      <w:r>
        <w:drawing>
          <wp:inline xmlns:a="http://schemas.openxmlformats.org/drawingml/2006/main" xmlns:pic="http://schemas.openxmlformats.org/drawingml/2006/picture">
            <wp:extent cx="4754880" cy="3038297"/>
            <wp:docPr id="5" name="Picture 5"/>
            <wp:cNvGraphicFramePr>
              <a:graphicFrameLocks noChangeAspect="1"/>
            </wp:cNvGraphicFramePr>
            <a:graphic>
              <a:graphicData uri="http://schemas.openxmlformats.org/drawingml/2006/picture">
                <pic:pic>
                  <pic:nvPicPr>
                    <pic:cNvPr id="0" name="data_mix.png"/>
                    <pic:cNvPicPr/>
                  </pic:nvPicPr>
                  <pic:blipFill>
                    <a:blip r:embed="rId13"/>
                    <a:stretch>
                      <a:fillRect/>
                    </a:stretch>
                  </pic:blipFill>
                  <pic:spPr>
                    <a:xfrm>
                      <a:off x="0" y="0"/>
                      <a:ext cx="4754880" cy="3038297"/>
                    </a:xfrm>
                    <a:prstGeom prst="rect"/>
                  </pic:spPr>
                </pic:pic>
              </a:graphicData>
            </a:graphic>
          </wp:inline>
        </w:drawing>
      </w:r>
    </w:p>
    <w:p>
      <w:pPr>
        <w:jc w:val="center"/>
      </w:pPr>
      <w:r>
        <w:rPr>
          <w:rFonts w:ascii="Calibri" w:hAnsi="Calibri" w:eastAsia="Calibri"/>
          <w:b w:val="0"/>
          <w:i/>
          <w:color w:val="666666"/>
          <w:sz w:val="18"/>
        </w:rPr>
        <w:t>Figure 5. Mix of tasks in training.</w:t>
      </w:r>
    </w:p>
    <w:p>
      <w:pPr>
        <w:spacing w:after="160" w:before="0"/>
      </w:pPr>
      <w:r>
        <w:rPr>
          <w:rFonts w:ascii="Calibri" w:hAnsi="Calibri" w:eastAsia="Calibri"/>
          <w:b w:val="0"/>
          <w:i w:val="0"/>
          <w:sz w:val="22"/>
        </w:rPr>
        <w:t>Splits are by template family, not by line. If you put paraphrases of the same template in both train and test, you fool yourself. We locked that before scoring.</w:t>
      </w:r>
    </w:p>
    <w:p>
      <w:pPr>
        <w:spacing w:after="200"/>
      </w:pPr>
      <w:r>
        <w:rPr>
          <w:rFonts w:ascii="Calibri" w:hAnsi="Calibri" w:eastAsia="Calibri"/>
          <w:b w:val="0"/>
          <w:i/>
          <w:color w:val="444444"/>
          <w:sz w:val="20"/>
        </w:rPr>
        <w:t>Indic paraphrases (Hindi, Hinglish, etc.) were generated as surface text only and kept only when amount, merchant, and account digits still matched our labels.</w:t>
      </w:r>
    </w:p>
    <w:p>
      <w:pPr>
        <w:pStyle w:val="Heading2"/>
      </w:pPr>
      <w:r>
        <w:rPr>
          <w:color w:val="1A1A1A"/>
        </w:rPr>
        <w:t>How we decided “good enough to ship”</w:t>
      </w:r>
    </w:p>
    <w:p>
      <w:pPr>
        <w:spacing w:after="160" w:before="0"/>
      </w:pPr>
      <w:r>
        <w:rPr>
          <w:rFonts w:ascii="Calibri" w:hAnsi="Calibri" w:eastAsia="Calibri"/>
          <w:b w:val="0"/>
          <w:i w:val="0"/>
          <w:sz w:val="22"/>
        </w:rPr>
        <w:t>The pass rules were written before we looked at the final test numbers. Main score: every key field correct (amount, type, merchant, last-4, balance), or empty {} for non-transactions.</w:t>
      </w:r>
    </w:p>
    <w:tbl>
      <w:tblPr>
        <w:tblStyle w:val="TableGrid"/>
        <w:tblW w:type="auto" w:w="0"/>
        <w:tblLook w:firstColumn="1" w:firstRow="1" w:lastColumn="0" w:lastRow="0" w:noHBand="0" w:noVBand="1" w:val="04A0"/>
      </w:tblPr>
      <w:tblGrid>
        <w:gridCol w:w="3216"/>
        <w:gridCol w:w="3216"/>
        <w:gridCol w:w="3216"/>
      </w:tblGrid>
      <w:tr>
        <w:tc>
          <w:tcPr>
            <w:tcW w:type="dxa" w:w="3216"/>
            <w:shd w:fill="1A1A1A"/>
          </w:tcPr>
          <w:p>
            <w:r/>
            <w:r>
              <w:rPr>
                <w:rFonts w:ascii="Calibri" w:hAnsi="Calibri" w:eastAsia="Calibri"/>
                <w:b/>
                <w:i w:val="0"/>
                <w:color w:val="FFFFFF"/>
                <w:sz w:val="20"/>
              </w:rPr>
              <w:t>Check</w:t>
            </w:r>
          </w:p>
        </w:tc>
        <w:tc>
          <w:tcPr>
            <w:tcW w:type="dxa" w:w="3216"/>
            <w:shd w:fill="1A1A1A"/>
          </w:tcPr>
          <w:p>
            <w:r/>
            <w:r>
              <w:rPr>
                <w:rFonts w:ascii="Calibri" w:hAnsi="Calibri" w:eastAsia="Calibri"/>
                <w:b/>
                <w:i w:val="0"/>
                <w:color w:val="FFFFFF"/>
                <w:sz w:val="20"/>
              </w:rPr>
              <w:t>Bar</w:t>
            </w:r>
          </w:p>
        </w:tc>
        <w:tc>
          <w:tcPr>
            <w:tcW w:type="dxa" w:w="3216"/>
            <w:shd w:fill="1A1A1A"/>
          </w:tcPr>
          <w:p>
            <w:r/>
            <w:r>
              <w:rPr>
                <w:rFonts w:ascii="Calibri" w:hAnsi="Calibri" w:eastAsia="Calibri"/>
                <w:b/>
                <w:i w:val="0"/>
                <w:color w:val="FFFFFF"/>
                <w:sz w:val="20"/>
              </w:rPr>
              <w:t>v2</w:t>
            </w:r>
          </w:p>
        </w:tc>
      </w:tr>
      <w:tr>
        <w:tc>
          <w:tcPr>
            <w:tcW w:type="dxa" w:w="3216"/>
          </w:tcPr>
          <w:p>
            <w:r/>
            <w:r>
              <w:rPr>
                <w:rFonts w:ascii="Calibri" w:hAnsi="Calibri" w:eastAsia="Calibri"/>
                <w:b w:val="0"/>
                <w:i w:val="0"/>
                <w:sz w:val="20"/>
              </w:rPr>
              <w:t>Beat untuned Qwen3 on SMS</w:t>
            </w:r>
          </w:p>
        </w:tc>
        <w:tc>
          <w:tcPr>
            <w:tcW w:type="dxa" w:w="3216"/>
          </w:tcPr>
          <w:p>
            <w:r/>
            <w:r>
              <w:rPr>
                <w:rFonts w:ascii="Calibri" w:hAnsi="Calibri" w:eastAsia="Calibri"/>
                <w:b w:val="0"/>
                <w:i w:val="0"/>
                <w:sz w:val="20"/>
              </w:rPr>
              <w:t>+3 points, clear gap</w:t>
            </w:r>
          </w:p>
        </w:tc>
        <w:tc>
          <w:tcPr>
            <w:tcW w:type="dxa" w:w="3216"/>
          </w:tcPr>
          <w:p>
            <w:r/>
            <w:r>
              <w:rPr>
                <w:rFonts w:ascii="Calibri" w:hAnsi="Calibri" w:eastAsia="Calibri"/>
                <w:b w:val="0"/>
                <w:i w:val="0"/>
                <w:sz w:val="20"/>
              </w:rPr>
              <w:t>Pass</w:t>
            </w:r>
          </w:p>
        </w:tc>
      </w:tr>
      <w:tr>
        <w:tc>
          <w:tcPr>
            <w:tcW w:type="dxa" w:w="3216"/>
          </w:tcPr>
          <w:p>
            <w:r/>
            <w:r>
              <w:rPr>
                <w:rFonts w:ascii="Calibri" w:hAnsi="Calibri" w:eastAsia="Calibri"/>
                <w:b w:val="0"/>
                <w:i w:val="0"/>
                <w:sz w:val="20"/>
              </w:rPr>
              <w:t>Do not get worse on amounts</w:t>
            </w:r>
          </w:p>
        </w:tc>
        <w:tc>
          <w:tcPr>
            <w:tcW w:type="dxa" w:w="3216"/>
          </w:tcPr>
          <w:p>
            <w:r/>
            <w:r>
              <w:rPr>
                <w:rFonts w:ascii="Calibri" w:hAnsi="Calibri" w:eastAsia="Calibri"/>
                <w:b w:val="0"/>
                <w:i w:val="0"/>
                <w:sz w:val="20"/>
              </w:rPr>
              <w:t>Within 1 point of base</w:t>
            </w:r>
          </w:p>
        </w:tc>
        <w:tc>
          <w:tcPr>
            <w:tcW w:type="dxa" w:w="3216"/>
          </w:tcPr>
          <w:p>
            <w:r/>
            <w:r>
              <w:rPr>
                <w:rFonts w:ascii="Calibri" w:hAnsi="Calibri" w:eastAsia="Calibri"/>
                <w:b w:val="0"/>
                <w:i w:val="0"/>
                <w:sz w:val="20"/>
              </w:rPr>
              <w:t>Pass</w:t>
            </w:r>
          </w:p>
        </w:tc>
      </w:tr>
      <w:tr>
        <w:tc>
          <w:tcPr>
            <w:tcW w:type="dxa" w:w="3216"/>
          </w:tcPr>
          <w:p>
            <w:r/>
            <w:r>
              <w:rPr>
                <w:rFonts w:ascii="Calibri" w:hAnsi="Calibri" w:eastAsia="Calibri"/>
                <w:b w:val="0"/>
                <w:i w:val="0"/>
                <w:sz w:val="20"/>
              </w:rPr>
              <w:t>Coach does not invent numbers</w:t>
            </w:r>
          </w:p>
        </w:tc>
        <w:tc>
          <w:tcPr>
            <w:tcW w:type="dxa" w:w="3216"/>
          </w:tcPr>
          <w:p>
            <w:r/>
            <w:r>
              <w:rPr>
                <w:rFonts w:ascii="Calibri" w:hAnsi="Calibri" w:eastAsia="Calibri"/>
                <w:b w:val="0"/>
                <w:i w:val="0"/>
                <w:sz w:val="20"/>
              </w:rPr>
              <w:t>Within 5 points of base</w:t>
            </w:r>
          </w:p>
        </w:tc>
        <w:tc>
          <w:tcPr>
            <w:tcW w:type="dxa" w:w="3216"/>
          </w:tcPr>
          <w:p>
            <w:r/>
            <w:r>
              <w:rPr>
                <w:rFonts w:ascii="Calibri" w:hAnsi="Calibri" w:eastAsia="Calibri"/>
                <w:b w:val="0"/>
                <w:i w:val="0"/>
                <w:sz w:val="20"/>
              </w:rPr>
              <w:t>Pass</w:t>
            </w:r>
          </w:p>
        </w:tc>
      </w:tr>
      <w:tr>
        <w:tc>
          <w:tcPr>
            <w:tcW w:type="dxa" w:w="3216"/>
          </w:tcPr>
          <w:p>
            <w:r/>
            <w:r>
              <w:rPr>
                <w:rFonts w:ascii="Calibri" w:hAnsi="Calibri" w:eastAsia="Calibri"/>
                <w:b w:val="0"/>
                <w:i w:val="0"/>
                <w:sz w:val="20"/>
              </w:rPr>
              <w:t>Valid JSON</w:t>
            </w:r>
          </w:p>
        </w:tc>
        <w:tc>
          <w:tcPr>
            <w:tcW w:type="dxa" w:w="3216"/>
          </w:tcPr>
          <w:p>
            <w:r/>
            <w:r>
              <w:rPr>
                <w:rFonts w:ascii="Calibri" w:hAnsi="Calibri" w:eastAsia="Calibri"/>
                <w:b w:val="0"/>
                <w:i w:val="0"/>
                <w:sz w:val="20"/>
              </w:rPr>
              <w:t>≥ 95%</w:t>
            </w:r>
          </w:p>
        </w:tc>
        <w:tc>
          <w:tcPr>
            <w:tcW w:type="dxa" w:w="3216"/>
          </w:tcPr>
          <w:p>
            <w:r/>
            <w:r>
              <w:rPr>
                <w:rFonts w:ascii="Calibri" w:hAnsi="Calibri" w:eastAsia="Calibri"/>
                <w:b w:val="0"/>
                <w:i w:val="0"/>
                <w:sz w:val="20"/>
              </w:rPr>
              <w:t>100%</w:t>
            </w:r>
          </w:p>
        </w:tc>
      </w:tr>
      <w:tr>
        <w:tc>
          <w:tcPr>
            <w:tcW w:type="dxa" w:w="3216"/>
          </w:tcPr>
          <w:p>
            <w:r/>
            <w:r>
              <w:rPr>
                <w:rFonts w:ascii="Calibri" w:hAnsi="Calibri" w:eastAsia="Calibri"/>
                <w:b w:val="0"/>
                <w:i w:val="0"/>
                <w:sz w:val="20"/>
              </w:rPr>
              <w:t>Beat old on-device baseline</w:t>
            </w:r>
          </w:p>
        </w:tc>
        <w:tc>
          <w:tcPr>
            <w:tcW w:type="dxa" w:w="3216"/>
          </w:tcPr>
          <w:p>
            <w:r/>
            <w:r>
              <w:rPr>
                <w:rFonts w:ascii="Calibri" w:hAnsi="Calibri" w:eastAsia="Calibri"/>
                <w:b w:val="0"/>
                <w:i w:val="0"/>
                <w:sz w:val="20"/>
              </w:rPr>
              <w:t>R-EM ≥ old model</w:t>
            </w:r>
          </w:p>
        </w:tc>
        <w:tc>
          <w:tcPr>
            <w:tcW w:type="dxa" w:w="3216"/>
          </w:tcPr>
          <w:p>
            <w:r/>
            <w:r>
              <w:rPr>
                <w:rFonts w:ascii="Calibri" w:hAnsi="Calibri" w:eastAsia="Calibri"/>
                <w:b w:val="0"/>
                <w:i w:val="0"/>
                <w:sz w:val="20"/>
              </w:rPr>
              <w:t>Pass</w:t>
            </w:r>
          </w:p>
        </w:tc>
      </w:tr>
      <w:tr>
        <w:tc>
          <w:tcPr>
            <w:tcW w:type="dxa" w:w="3216"/>
          </w:tcPr>
          <w:p>
            <w:r/>
            <w:r>
              <w:rPr>
                <w:rFonts w:ascii="Calibri" w:hAnsi="Calibri" w:eastAsia="Calibri"/>
                <w:b w:val="0"/>
                <w:i w:val="0"/>
                <w:sz w:val="20"/>
              </w:rPr>
              <w:t>Phone speed / memory</w:t>
            </w:r>
          </w:p>
        </w:tc>
        <w:tc>
          <w:tcPr>
            <w:tcW w:type="dxa" w:w="3216"/>
          </w:tcPr>
          <w:p>
            <w:r/>
            <w:r>
              <w:rPr>
                <w:rFonts w:ascii="Calibri" w:hAnsi="Calibri" w:eastAsia="Calibri"/>
                <w:b w:val="0"/>
                <w:i w:val="0"/>
                <w:sz w:val="20"/>
              </w:rPr>
              <w:t>Comparable to old model</w:t>
            </w:r>
          </w:p>
        </w:tc>
        <w:tc>
          <w:tcPr>
            <w:tcW w:type="dxa" w:w="3216"/>
          </w:tcPr>
          <w:p>
            <w:r/>
            <w:r>
              <w:rPr>
                <w:rFonts w:ascii="Calibri" w:hAnsi="Calibri" w:eastAsia="Calibri"/>
                <w:b w:val="0"/>
                <w:i w:val="0"/>
                <w:sz w:val="20"/>
              </w:rPr>
              <w:t>Still to measure on device</w:t>
            </w:r>
          </w:p>
        </w:tc>
      </w:tr>
    </w:tbl>
    <w:p/>
    <w:p>
      <w:pPr>
        <w:pStyle w:val="Heading1"/>
      </w:pPr>
      <w:r>
        <w:rPr>
          <w:color w:val="1A1A1A"/>
        </w:rPr>
        <w:t>Numbers</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fill="1A1A1A"/>
          </w:tcPr>
          <w:p>
            <w:r/>
            <w:r>
              <w:rPr>
                <w:rFonts w:ascii="Calibri" w:hAnsi="Calibri" w:eastAsia="Calibri"/>
                <w:b/>
                <w:i w:val="0"/>
                <w:color w:val="FFFFFF"/>
                <w:sz w:val="20"/>
              </w:rPr>
            </w:r>
          </w:p>
        </w:tc>
        <w:tc>
          <w:tcPr>
            <w:tcW w:type="dxa" w:w="2412"/>
            <w:shd w:fill="1A1A1A"/>
          </w:tcPr>
          <w:p>
            <w:r/>
            <w:r>
              <w:rPr>
                <w:rFonts w:ascii="Calibri" w:hAnsi="Calibri" w:eastAsia="Calibri"/>
                <w:b/>
                <w:i w:val="0"/>
                <w:color w:val="FFFFFF"/>
                <w:sz w:val="20"/>
              </w:rPr>
              <w:t>FinnAI v2</w:t>
            </w:r>
          </w:p>
        </w:tc>
        <w:tc>
          <w:tcPr>
            <w:tcW w:type="dxa" w:w="2412"/>
            <w:shd w:fill="1A1A1A"/>
          </w:tcPr>
          <w:p>
            <w:r/>
            <w:r>
              <w:rPr>
                <w:rFonts w:ascii="Calibri" w:hAnsi="Calibri" w:eastAsia="Calibri"/>
                <w:b/>
                <w:i w:val="0"/>
                <w:color w:val="FFFFFF"/>
                <w:sz w:val="20"/>
              </w:rPr>
              <w:t>v1</w:t>
            </w:r>
          </w:p>
        </w:tc>
        <w:tc>
          <w:tcPr>
            <w:tcW w:type="dxa" w:w="2412"/>
            <w:shd w:fill="1A1A1A"/>
          </w:tcPr>
          <w:p>
            <w:r/>
            <w:r>
              <w:rPr>
                <w:rFonts w:ascii="Calibri" w:hAnsi="Calibri" w:eastAsia="Calibri"/>
                <w:b/>
                <w:i w:val="0"/>
                <w:color w:val="FFFFFF"/>
                <w:sz w:val="20"/>
              </w:rPr>
              <w:t>Untuned Qwen3</w:t>
            </w:r>
          </w:p>
        </w:tc>
      </w:tr>
      <w:tr>
        <w:tc>
          <w:tcPr>
            <w:tcW w:type="dxa" w:w="2412"/>
          </w:tcPr>
          <w:p>
            <w:r/>
            <w:r>
              <w:rPr>
                <w:rFonts w:ascii="Calibri" w:hAnsi="Calibri" w:eastAsia="Calibri"/>
                <w:b w:val="0"/>
                <w:i w:val="0"/>
                <w:sz w:val="20"/>
              </w:rPr>
              <w:t>SMS fully correct</w:t>
            </w:r>
          </w:p>
        </w:tc>
        <w:tc>
          <w:tcPr>
            <w:tcW w:type="dxa" w:w="2412"/>
          </w:tcPr>
          <w:p>
            <w:r/>
            <w:r>
              <w:rPr>
                <w:rFonts w:ascii="Calibri" w:hAnsi="Calibri" w:eastAsia="Calibri"/>
                <w:b w:val="0"/>
                <w:i w:val="0"/>
                <w:sz w:val="20"/>
              </w:rPr>
              <w:t>98.0%</w:t>
            </w:r>
          </w:p>
        </w:tc>
        <w:tc>
          <w:tcPr>
            <w:tcW w:type="dxa" w:w="2412"/>
          </w:tcPr>
          <w:p>
            <w:r/>
            <w:r>
              <w:rPr>
                <w:rFonts w:ascii="Calibri" w:hAnsi="Calibri" w:eastAsia="Calibri"/>
                <w:b w:val="0"/>
                <w:i w:val="0"/>
                <w:sz w:val="20"/>
              </w:rPr>
              <w:t>92.8%</w:t>
            </w:r>
          </w:p>
        </w:tc>
        <w:tc>
          <w:tcPr>
            <w:tcW w:type="dxa" w:w="2412"/>
          </w:tcPr>
          <w:p>
            <w:r/>
            <w:r>
              <w:rPr>
                <w:rFonts w:ascii="Calibri" w:hAnsi="Calibri" w:eastAsia="Calibri"/>
                <w:b w:val="0"/>
                <w:i w:val="0"/>
                <w:sz w:val="20"/>
              </w:rPr>
              <w:t>28.2%</w:t>
            </w:r>
          </w:p>
        </w:tc>
      </w:tr>
      <w:tr>
        <w:tc>
          <w:tcPr>
            <w:tcW w:type="dxa" w:w="2412"/>
          </w:tcPr>
          <w:p>
            <w:r/>
            <w:r>
              <w:rPr>
                <w:rFonts w:ascii="Calibri" w:hAnsi="Calibri" w:eastAsia="Calibri"/>
                <w:b w:val="0"/>
                <w:i w:val="0"/>
                <w:sz w:val="20"/>
              </w:rPr>
              <w:t>Amount correct</w:t>
            </w:r>
          </w:p>
        </w:tc>
        <w:tc>
          <w:tcPr>
            <w:tcW w:type="dxa" w:w="2412"/>
          </w:tcPr>
          <w:p>
            <w:r/>
            <w:r>
              <w:rPr>
                <w:rFonts w:ascii="Calibri" w:hAnsi="Calibri" w:eastAsia="Calibri"/>
                <w:b w:val="0"/>
                <w:i w:val="0"/>
                <w:sz w:val="20"/>
              </w:rPr>
              <w:t>99.5%</w:t>
            </w:r>
          </w:p>
        </w:tc>
        <w:tc>
          <w:tcPr>
            <w:tcW w:type="dxa" w:w="2412"/>
          </w:tcPr>
          <w:p>
            <w:r/>
            <w:r>
              <w:rPr>
                <w:rFonts w:ascii="Calibri" w:hAnsi="Calibri" w:eastAsia="Calibri"/>
                <w:b w:val="0"/>
                <w:i w:val="0"/>
                <w:sz w:val="20"/>
              </w:rPr>
              <w:t>94.6%</w:t>
            </w:r>
          </w:p>
        </w:tc>
        <w:tc>
          <w:tcPr>
            <w:tcW w:type="dxa" w:w="2412"/>
          </w:tcPr>
          <w:p>
            <w:r/>
            <w:r>
              <w:rPr>
                <w:rFonts w:ascii="Calibri" w:hAnsi="Calibri" w:eastAsia="Calibri"/>
                <w:b w:val="0"/>
                <w:i w:val="0"/>
                <w:sz w:val="20"/>
              </w:rPr>
              <w:t>82.8%</w:t>
            </w:r>
          </w:p>
        </w:tc>
      </w:tr>
      <w:tr>
        <w:tc>
          <w:tcPr>
            <w:tcW w:type="dxa" w:w="2412"/>
          </w:tcPr>
          <w:p>
            <w:r/>
            <w:r>
              <w:rPr>
                <w:rFonts w:ascii="Calibri" w:hAnsi="Calibri" w:eastAsia="Calibri"/>
                <w:b w:val="0"/>
                <w:i w:val="0"/>
                <w:sz w:val="20"/>
              </w:rPr>
              <w:t>Merchant correct</w:t>
            </w:r>
          </w:p>
        </w:tc>
        <w:tc>
          <w:tcPr>
            <w:tcW w:type="dxa" w:w="2412"/>
          </w:tcPr>
          <w:p>
            <w:r/>
            <w:r>
              <w:rPr>
                <w:rFonts w:ascii="Calibri" w:hAnsi="Calibri" w:eastAsia="Calibri"/>
                <w:b w:val="0"/>
                <w:i w:val="0"/>
                <w:sz w:val="20"/>
              </w:rPr>
              <w:t>98.2%</w:t>
            </w:r>
          </w:p>
        </w:tc>
        <w:tc>
          <w:tcPr>
            <w:tcW w:type="dxa" w:w="2412"/>
          </w:tcPr>
          <w:p>
            <w:r/>
            <w:r>
              <w:rPr>
                <w:rFonts w:ascii="Calibri" w:hAnsi="Calibri" w:eastAsia="Calibri"/>
                <w:b w:val="0"/>
                <w:i w:val="0"/>
                <w:sz w:val="20"/>
              </w:rPr>
              <w:t>93.1%</w:t>
            </w:r>
          </w:p>
        </w:tc>
        <w:tc>
          <w:tcPr>
            <w:tcW w:type="dxa" w:w="2412"/>
          </w:tcPr>
          <w:p>
            <w:r/>
            <w:r>
              <w:rPr>
                <w:rFonts w:ascii="Calibri" w:hAnsi="Calibri" w:eastAsia="Calibri"/>
                <w:b w:val="0"/>
                <w:i w:val="0"/>
                <w:sz w:val="20"/>
              </w:rPr>
              <w:t>61.3%</w:t>
            </w:r>
          </w:p>
        </w:tc>
      </w:tr>
      <w:tr>
        <w:tc>
          <w:tcPr>
            <w:tcW w:type="dxa" w:w="2412"/>
          </w:tcPr>
          <w:p>
            <w:r/>
            <w:r>
              <w:rPr>
                <w:rFonts w:ascii="Calibri" w:hAnsi="Calibri" w:eastAsia="Calibri"/>
                <w:b w:val="0"/>
                <w:i w:val="0"/>
                <w:sz w:val="20"/>
              </w:rPr>
              <w:t>OTP/promo wrongly parsed</w:t>
            </w:r>
          </w:p>
        </w:tc>
        <w:tc>
          <w:tcPr>
            <w:tcW w:type="dxa" w:w="2412"/>
          </w:tcPr>
          <w:p>
            <w:r/>
            <w:r>
              <w:rPr>
                <w:rFonts w:ascii="Calibri" w:hAnsi="Calibri" w:eastAsia="Calibri"/>
                <w:b w:val="0"/>
                <w:i w:val="0"/>
                <w:sz w:val="20"/>
              </w:rPr>
              <w:t>0.5%</w:t>
            </w:r>
          </w:p>
        </w:tc>
        <w:tc>
          <w:tcPr>
            <w:tcW w:type="dxa" w:w="2412"/>
          </w:tcPr>
          <w:p>
            <w:r/>
            <w:r>
              <w:rPr>
                <w:rFonts w:ascii="Calibri" w:hAnsi="Calibri" w:eastAsia="Calibri"/>
                <w:b w:val="0"/>
                <w:i w:val="0"/>
                <w:sz w:val="20"/>
              </w:rPr>
              <w:t>28.6%</w:t>
            </w:r>
          </w:p>
        </w:tc>
        <w:tc>
          <w:tcPr>
            <w:tcW w:type="dxa" w:w="2412"/>
          </w:tcPr>
          <w:p>
            <w:r/>
            <w:r>
              <w:rPr>
                <w:rFonts w:ascii="Calibri" w:hAnsi="Calibri" w:eastAsia="Calibri"/>
                <w:b w:val="0"/>
                <w:i w:val="0"/>
                <w:sz w:val="20"/>
              </w:rPr>
              <w:t>100%</w:t>
            </w:r>
          </w:p>
        </w:tc>
      </w:tr>
      <w:tr>
        <w:tc>
          <w:tcPr>
            <w:tcW w:type="dxa" w:w="2412"/>
          </w:tcPr>
          <w:p>
            <w:r/>
            <w:r>
              <w:rPr>
                <w:rFonts w:ascii="Calibri" w:hAnsi="Calibri" w:eastAsia="Calibri"/>
                <w:b w:val="0"/>
                <w:i w:val="0"/>
                <w:sz w:val="20"/>
              </w:rPr>
              <w:t>Coach grounded in ledger</w:t>
            </w:r>
          </w:p>
        </w:tc>
        <w:tc>
          <w:tcPr>
            <w:tcW w:type="dxa" w:w="2412"/>
          </w:tcPr>
          <w:p>
            <w:r/>
            <w:r>
              <w:rPr>
                <w:rFonts w:ascii="Calibri" w:hAnsi="Calibri" w:eastAsia="Calibri"/>
                <w:b w:val="0"/>
                <w:i w:val="0"/>
                <w:sz w:val="20"/>
              </w:rPr>
              <w:t>68%</w:t>
            </w:r>
          </w:p>
        </w:tc>
        <w:tc>
          <w:tcPr>
            <w:tcW w:type="dxa" w:w="2412"/>
          </w:tcPr>
          <w:p>
            <w:r/>
            <w:r>
              <w:rPr>
                <w:rFonts w:ascii="Calibri" w:hAnsi="Calibri" w:eastAsia="Calibri"/>
                <w:b w:val="0"/>
                <w:i w:val="0"/>
                <w:sz w:val="20"/>
              </w:rPr>
              <w:t>32%</w:t>
            </w:r>
          </w:p>
        </w:tc>
        <w:tc>
          <w:tcPr>
            <w:tcW w:type="dxa" w:w="2412"/>
          </w:tcPr>
          <w:p>
            <w:r/>
            <w:r>
              <w:rPr>
                <w:rFonts w:ascii="Calibri" w:hAnsi="Calibri" w:eastAsia="Calibri"/>
                <w:b w:val="0"/>
                <w:i w:val="0"/>
                <w:sz w:val="20"/>
              </w:rPr>
              <w:t>26%</w:t>
            </w:r>
          </w:p>
        </w:tc>
      </w:tr>
    </w:tbl>
    <w:p/>
    <w:p>
      <w:pPr>
        <w:spacing w:after="160" w:before="0"/>
      </w:pPr>
      <w:r>
        <w:rPr>
          <w:rFonts w:ascii="Calibri" w:hAnsi="Calibri" w:eastAsia="Calibri"/>
          <w:b w:val="0"/>
          <w:i w:val="0"/>
          <w:sz w:val="22"/>
        </w:rPr>
        <w:t>The false-parse drop matters in product terms: fewer OTPs showing up as spends. Coach groundedness doubled from v1 to v2 — still not perfect, but usable.</w:t>
      </w:r>
    </w:p>
    <w:p>
      <w:pPr>
        <w:pStyle w:val="Heading1"/>
      </w:pPr>
      <w:r>
        <w:rPr>
          <w:color w:val="1A1A1A"/>
        </w:rPr>
        <w:t>Cost</w:t>
      </w:r>
    </w:p>
    <w:p>
      <w:pPr>
        <w:spacing w:after="160" w:before="0"/>
      </w:pPr>
      <w:r>
        <w:rPr>
          <w:rFonts w:ascii="Calibri" w:hAnsi="Calibri" w:eastAsia="Calibri"/>
          <w:b w:val="0"/>
          <w:i w:val="0"/>
          <w:sz w:val="22"/>
        </w:rPr>
        <w:t>One training run is a few hours on a single GPU — low double-digit dollars for the whole v1→v2 loop including eval and Indic data generation. No annotation vendor. No user inbox dump.</w:t>
      </w:r>
    </w:p>
    <w:p>
      <w:pPr>
        <w:spacing w:after="160" w:before="0"/>
      </w:pPr>
      <w:r>
        <w:rPr>
          <w:rFonts w:ascii="Calibri" w:hAnsi="Calibri" w:eastAsia="Calibri"/>
          <w:b w:val="0"/>
          <w:i w:val="0"/>
          <w:sz w:val="22"/>
        </w:rPr>
        <w:t>Ongoing: downloading the model once is cheaper than paying per SMS to a cloud API forever.</w:t>
      </w:r>
    </w:p>
    <w:p>
      <w:pPr>
        <w:pStyle w:val="Heading1"/>
      </w:pPr>
      <w:r>
        <w:rPr>
          <w:color w:val="1A1A1A"/>
        </w:rPr>
        <w:t>What we published</w:t>
      </w:r>
    </w:p>
    <w:p>
      <w:pPr>
        <w:spacing w:after="160" w:before="0"/>
      </w:pPr>
      <w:r>
        <w:rPr>
          <w:rFonts w:ascii="Calibri" w:hAnsi="Calibri" w:eastAsia="Calibri"/>
          <w:b w:val="0"/>
          <w:i w:val="0"/>
          <w:sz w:val="22"/>
        </w:rPr>
        <w:t>Weights, dataset, training/eval code, and this write-up are public (Apache 2.0). Links are on the cover. Others can fine-tune further or copy the approach for other private on-device jobs.</w:t>
      </w:r>
    </w:p>
    <w:p>
      <w:pPr>
        <w:pStyle w:val="Heading1"/>
      </w:pPr>
      <w:r>
        <w:rPr>
          <w:color w:val="1A1A1A"/>
        </w:rPr>
        <w:t>Honest limits</w:t>
      </w:r>
    </w:p>
    <w:p>
      <w:pPr>
        <w:spacing w:after="160" w:before="0"/>
      </w:pPr>
      <w:r>
        <w:rPr>
          <w:rFonts w:ascii="Calibri" w:hAnsi="Calibri" w:eastAsia="Calibri"/>
          <w:b w:val="0"/>
          <w:i w:val="0"/>
          <w:sz w:val="22"/>
        </w:rPr>
        <w:t>Built for Indian bank SMS. Regex still wins on banks we fully support. Merchant names are the fiddliest field. Coach answers can still paraphrase numbers sometimes. We still need a real-device speed/memory check before calling the phone build fully done.</w:t>
      </w:r>
    </w:p>
    <w:p>
      <w:pPr>
        <w:pStyle w:val="Heading1"/>
      </w:pPr>
      <w:r>
        <w:rPr>
          <w:color w:val="1A1A1A"/>
        </w:rPr>
        <w:t>Next</w:t>
      </w:r>
    </w:p>
    <w:p>
      <w:pPr>
        <w:spacing w:after="160" w:before="0"/>
      </w:pPr>
      <w:r>
        <w:rPr>
          <w:rFonts w:ascii="Calibri" w:hAnsi="Calibri" w:eastAsia="Calibri"/>
          <w:b w:val="0"/>
          <w:i w:val="0"/>
          <w:sz w:val="22"/>
        </w:rPr>
        <w:t>Finish on-device timing, point the app at the new file when that passes, keep growing templates for new banks and languages — still without training on user SMS.</w:t>
      </w:r>
    </w:p>
    <w:p>
      <w:pPr>
        <w:pStyle w:val="Heading1"/>
      </w:pPr>
      <w:r>
        <w:rPr>
          <w:color w:val="1A1A1A"/>
        </w:rPr>
        <w:t>Glossary</w:t>
      </w:r>
    </w:p>
    <w:tbl>
      <w:tblPr>
        <w:tblStyle w:val="TableGrid"/>
        <w:tblW w:type="auto" w:w="0"/>
        <w:tblLook w:firstColumn="1" w:firstRow="1" w:lastColumn="0" w:lastRow="0" w:noHBand="0" w:noVBand="1" w:val="04A0"/>
      </w:tblPr>
      <w:tblGrid>
        <w:gridCol w:w="4824"/>
        <w:gridCol w:w="4824"/>
      </w:tblGrid>
      <w:tr>
        <w:tc>
          <w:tcPr>
            <w:tcW w:type="dxa" w:w="4824"/>
            <w:shd w:fill="1A1A1A"/>
          </w:tcPr>
          <w:p>
            <w:r/>
            <w:r>
              <w:rPr>
                <w:rFonts w:ascii="Calibri" w:hAnsi="Calibri" w:eastAsia="Calibri"/>
                <w:b/>
                <w:i w:val="0"/>
                <w:color w:val="FFFFFF"/>
                <w:sz w:val="20"/>
              </w:rPr>
              <w:t>Term</w:t>
            </w:r>
          </w:p>
        </w:tc>
        <w:tc>
          <w:tcPr>
            <w:tcW w:type="dxa" w:w="4824"/>
            <w:shd w:fill="1A1A1A"/>
          </w:tcPr>
          <w:p>
            <w:r/>
            <w:r>
              <w:rPr>
                <w:rFonts w:ascii="Calibri" w:hAnsi="Calibri" w:eastAsia="Calibri"/>
                <w:b/>
                <w:i w:val="0"/>
                <w:color w:val="FFFFFF"/>
                <w:sz w:val="20"/>
              </w:rPr>
              <w:t>Meaning</w:t>
            </w:r>
          </w:p>
        </w:tc>
      </w:tr>
      <w:tr>
        <w:tc>
          <w:tcPr>
            <w:tcW w:type="dxa" w:w="4824"/>
          </w:tcPr>
          <w:p>
            <w:r/>
            <w:r>
              <w:rPr>
                <w:rFonts w:ascii="Calibri" w:hAnsi="Calibri" w:eastAsia="Calibri"/>
                <w:b w:val="0"/>
                <w:i w:val="0"/>
                <w:sz w:val="20"/>
              </w:rPr>
              <w:t>LLM / SLM</w:t>
            </w:r>
          </w:p>
        </w:tc>
        <w:tc>
          <w:tcPr>
            <w:tcW w:type="dxa" w:w="4824"/>
          </w:tcPr>
          <w:p>
            <w:r/>
            <w:r>
              <w:rPr>
                <w:rFonts w:ascii="Calibri" w:hAnsi="Calibri" w:eastAsia="Calibri"/>
                <w:b w:val="0"/>
                <w:i w:val="0"/>
                <w:sz w:val="20"/>
              </w:rPr>
              <w:t>Large / small language model</w:t>
            </w:r>
          </w:p>
        </w:tc>
      </w:tr>
      <w:tr>
        <w:tc>
          <w:tcPr>
            <w:tcW w:type="dxa" w:w="4824"/>
          </w:tcPr>
          <w:p>
            <w:r/>
            <w:r>
              <w:rPr>
                <w:rFonts w:ascii="Calibri" w:hAnsi="Calibri" w:eastAsia="Calibri"/>
                <w:b w:val="0"/>
                <w:i w:val="0"/>
                <w:sz w:val="20"/>
              </w:rPr>
              <w:t>Fine-tune</w:t>
            </w:r>
          </w:p>
        </w:tc>
        <w:tc>
          <w:tcPr>
            <w:tcW w:type="dxa" w:w="4824"/>
          </w:tcPr>
          <w:p>
            <w:r/>
            <w:r>
              <w:rPr>
                <w:rFonts w:ascii="Calibri" w:hAnsi="Calibri" w:eastAsia="Calibri"/>
                <w:b w:val="0"/>
                <w:i w:val="0"/>
                <w:sz w:val="20"/>
              </w:rPr>
              <w:t>Extra training for one job</w:t>
            </w:r>
          </w:p>
        </w:tc>
      </w:tr>
      <w:tr>
        <w:tc>
          <w:tcPr>
            <w:tcW w:type="dxa" w:w="4824"/>
          </w:tcPr>
          <w:p>
            <w:r/>
            <w:r>
              <w:rPr>
                <w:rFonts w:ascii="Calibri" w:hAnsi="Calibri" w:eastAsia="Calibri"/>
                <w:b w:val="0"/>
                <w:i w:val="0"/>
                <w:sz w:val="20"/>
              </w:rPr>
              <w:t>QLoRA</w:t>
            </w:r>
          </w:p>
        </w:tc>
        <w:tc>
          <w:tcPr>
            <w:tcW w:type="dxa" w:w="4824"/>
          </w:tcPr>
          <w:p>
            <w:r/>
            <w:r>
              <w:rPr>
                <w:rFonts w:ascii="Calibri" w:hAnsi="Calibri" w:eastAsia="Calibri"/>
                <w:b w:val="0"/>
                <w:i w:val="0"/>
                <w:sz w:val="20"/>
              </w:rPr>
              <w:t>Train a small adapter; keep the base frozen</w:t>
            </w:r>
          </w:p>
        </w:tc>
      </w:tr>
      <w:tr>
        <w:tc>
          <w:tcPr>
            <w:tcW w:type="dxa" w:w="4824"/>
          </w:tcPr>
          <w:p>
            <w:r/>
            <w:r>
              <w:rPr>
                <w:rFonts w:ascii="Calibri" w:hAnsi="Calibri" w:eastAsia="Calibri"/>
                <w:b w:val="0"/>
                <w:i w:val="0"/>
                <w:sz w:val="20"/>
              </w:rPr>
              <w:t>SFT</w:t>
            </w:r>
          </w:p>
        </w:tc>
        <w:tc>
          <w:tcPr>
            <w:tcW w:type="dxa" w:w="4824"/>
          </w:tcPr>
          <w:p>
            <w:r/>
            <w:r>
              <w:rPr>
                <w:rFonts w:ascii="Calibri" w:hAnsi="Calibri" w:eastAsia="Calibri"/>
                <w:b w:val="0"/>
                <w:i w:val="0"/>
                <w:sz w:val="20"/>
              </w:rPr>
              <w:t>Learn from input → correct output pairs</w:t>
            </w:r>
          </w:p>
        </w:tc>
      </w:tr>
      <w:tr>
        <w:tc>
          <w:tcPr>
            <w:tcW w:type="dxa" w:w="4824"/>
          </w:tcPr>
          <w:p>
            <w:r/>
            <w:r>
              <w:rPr>
                <w:rFonts w:ascii="Calibri" w:hAnsi="Calibri" w:eastAsia="Calibri"/>
                <w:b w:val="0"/>
                <w:i w:val="0"/>
                <w:sz w:val="20"/>
              </w:rPr>
              <w:t>R-EM</w:t>
            </w:r>
          </w:p>
        </w:tc>
        <w:tc>
          <w:tcPr>
            <w:tcW w:type="dxa" w:w="4824"/>
          </w:tcPr>
          <w:p>
            <w:r/>
            <w:r>
              <w:rPr>
                <w:rFonts w:ascii="Calibri" w:hAnsi="Calibri" w:eastAsia="Calibri"/>
                <w:b w:val="0"/>
                <w:i w:val="0"/>
                <w:sz w:val="20"/>
              </w:rPr>
              <w:t>All key SMS fields match gold</w:t>
            </w:r>
          </w:p>
        </w:tc>
      </w:tr>
      <w:tr>
        <w:tc>
          <w:tcPr>
            <w:tcW w:type="dxa" w:w="4824"/>
          </w:tcPr>
          <w:p>
            <w:r/>
            <w:r>
              <w:rPr>
                <w:rFonts w:ascii="Calibri" w:hAnsi="Calibri" w:eastAsia="Calibri"/>
                <w:b w:val="0"/>
                <w:i w:val="0"/>
                <w:sz w:val="20"/>
              </w:rPr>
              <w:t>Grounded</w:t>
            </w:r>
          </w:p>
        </w:tc>
        <w:tc>
          <w:tcPr>
            <w:tcW w:type="dxa" w:w="4824"/>
          </w:tcPr>
          <w:p>
            <w:r/>
            <w:r>
              <w:rPr>
                <w:rFonts w:ascii="Calibri" w:hAnsi="Calibri" w:eastAsia="Calibri"/>
                <w:b w:val="0"/>
                <w:i w:val="0"/>
                <w:sz w:val="20"/>
              </w:rPr>
              <w:t>Numbers in the answer exist in the ledger prompt</w:t>
            </w:r>
          </w:p>
        </w:tc>
      </w:tr>
    </w:tbl>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