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6DD8B" w14:textId="30128087" w:rsidR="00403A26" w:rsidRPr="00403A26" w:rsidRDefault="00403A26" w:rsidP="00403A26">
      <w:pPr>
        <w:rPr>
          <w:rFonts w:ascii="Lato Black" w:hAnsi="Lato Black"/>
          <w:b/>
          <w:bCs/>
          <w:sz w:val="32"/>
          <w:szCs w:val="32"/>
          <w:u w:val="single"/>
        </w:rPr>
      </w:pPr>
      <w:r w:rsidRPr="00403A26">
        <w:rPr>
          <w:rFonts w:ascii="Lato Black" w:hAnsi="Lato Black"/>
          <w:b/>
          <w:bCs/>
          <w:sz w:val="32"/>
          <w:szCs w:val="32"/>
          <w:u w:val="single"/>
        </w:rPr>
        <w:t>Ecommerce Sales Analysis</w:t>
      </w:r>
    </w:p>
    <w:p w14:paraId="597AA306" w14:textId="77777777" w:rsidR="00403A26" w:rsidRDefault="00403A26" w:rsidP="00403A26">
      <w:pPr>
        <w:rPr>
          <w:b/>
          <w:bCs/>
          <w:sz w:val="24"/>
          <w:szCs w:val="24"/>
        </w:rPr>
      </w:pPr>
    </w:p>
    <w:p w14:paraId="461DEA39" w14:textId="473864AA" w:rsidR="00403A26" w:rsidRPr="00403A26" w:rsidRDefault="00403A26" w:rsidP="00403A26">
      <w:pPr>
        <w:rPr>
          <w:b/>
          <w:bCs/>
          <w:sz w:val="24"/>
          <w:szCs w:val="24"/>
        </w:rPr>
      </w:pPr>
      <w:r w:rsidRPr="00403A26">
        <w:rPr>
          <w:b/>
          <w:bCs/>
          <w:sz w:val="24"/>
          <w:szCs w:val="24"/>
        </w:rPr>
        <w:t>Overview</w:t>
      </w:r>
    </w:p>
    <w:p w14:paraId="04AF668D" w14:textId="77777777" w:rsidR="00403A26" w:rsidRPr="00403A26" w:rsidRDefault="00403A26" w:rsidP="00403A26">
      <w:pPr>
        <w:rPr>
          <w:sz w:val="24"/>
          <w:szCs w:val="24"/>
        </w:rPr>
      </w:pPr>
      <w:r w:rsidRPr="00403A26">
        <w:rPr>
          <w:sz w:val="24"/>
          <w:szCs w:val="24"/>
        </w:rPr>
        <w:t>This Ecommerce Sales Analysis Dashboard provides a comprehensive overview of the company’s sales performance over a specified period. The dashboard visualizes key performance metrics across various categories, states, and timeframes. The goal is to identify growth trends, high-performing products, and areas requiring attention, thereby supporting strategic business decisions.</w:t>
      </w:r>
    </w:p>
    <w:p w14:paraId="57FDDA88" w14:textId="6407939D" w:rsidR="00403A26" w:rsidRPr="00403A26" w:rsidRDefault="00403A26" w:rsidP="00403A26"/>
    <w:p w14:paraId="40B56CCC" w14:textId="77777777" w:rsidR="00403A26" w:rsidRPr="00403A26" w:rsidRDefault="00403A26" w:rsidP="00403A26">
      <w:pPr>
        <w:rPr>
          <w:b/>
          <w:bCs/>
          <w:sz w:val="24"/>
          <w:szCs w:val="24"/>
        </w:rPr>
      </w:pPr>
      <w:r w:rsidRPr="00403A26">
        <w:rPr>
          <w:b/>
          <w:bCs/>
          <w:sz w:val="24"/>
          <w:szCs w:val="24"/>
        </w:rPr>
        <w:t>Key Highlights</w:t>
      </w:r>
    </w:p>
    <w:p w14:paraId="0B1B9C57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1. Overall Performance Metrics</w:t>
      </w:r>
    </w:p>
    <w:p w14:paraId="3D495AFF" w14:textId="77777777" w:rsidR="00403A26" w:rsidRPr="00403A26" w:rsidRDefault="00403A26" w:rsidP="00403A26">
      <w:pPr>
        <w:numPr>
          <w:ilvl w:val="0"/>
          <w:numId w:val="1"/>
        </w:numPr>
      </w:pPr>
      <w:r w:rsidRPr="00403A26">
        <w:rPr>
          <w:b/>
          <w:bCs/>
        </w:rPr>
        <w:t>Total Sales</w:t>
      </w:r>
      <w:r w:rsidRPr="00403A26">
        <w:t>: $22,97,200.86</w:t>
      </w:r>
    </w:p>
    <w:p w14:paraId="4234B49D" w14:textId="77777777" w:rsidR="00403A26" w:rsidRPr="00403A26" w:rsidRDefault="00403A26" w:rsidP="00403A26">
      <w:pPr>
        <w:numPr>
          <w:ilvl w:val="0"/>
          <w:numId w:val="1"/>
        </w:numPr>
      </w:pPr>
      <w:r w:rsidRPr="00403A26">
        <w:rPr>
          <w:b/>
          <w:bCs/>
        </w:rPr>
        <w:t>Total Profit</w:t>
      </w:r>
      <w:r w:rsidRPr="00403A26">
        <w:t>: $2,86,397.02</w:t>
      </w:r>
    </w:p>
    <w:p w14:paraId="7B01CBEA" w14:textId="77777777" w:rsidR="00403A26" w:rsidRPr="00403A26" w:rsidRDefault="00403A26" w:rsidP="00403A26">
      <w:pPr>
        <w:numPr>
          <w:ilvl w:val="0"/>
          <w:numId w:val="1"/>
        </w:numPr>
      </w:pPr>
      <w:r w:rsidRPr="00403A26">
        <w:rPr>
          <w:b/>
          <w:bCs/>
        </w:rPr>
        <w:t>Total Quantity Sold</w:t>
      </w:r>
      <w:r w:rsidRPr="00403A26">
        <w:t>: 37,873 units</w:t>
      </w:r>
    </w:p>
    <w:p w14:paraId="0EF8CAE5" w14:textId="77777777" w:rsidR="00403A26" w:rsidRPr="00403A26" w:rsidRDefault="00403A26" w:rsidP="00403A26">
      <w:pPr>
        <w:numPr>
          <w:ilvl w:val="0"/>
          <w:numId w:val="1"/>
        </w:numPr>
      </w:pPr>
      <w:r w:rsidRPr="00403A26">
        <w:rPr>
          <w:b/>
          <w:bCs/>
        </w:rPr>
        <w:t>Total Orders</w:t>
      </w:r>
      <w:r w:rsidRPr="00403A26">
        <w:t>: 9,994 orders</w:t>
      </w:r>
    </w:p>
    <w:p w14:paraId="798C6278" w14:textId="77777777" w:rsidR="00403A26" w:rsidRPr="00403A26" w:rsidRDefault="00403A26" w:rsidP="00403A26">
      <w:pPr>
        <w:numPr>
          <w:ilvl w:val="0"/>
          <w:numId w:val="1"/>
        </w:numPr>
      </w:pPr>
      <w:r w:rsidRPr="00403A26">
        <w:rPr>
          <w:b/>
          <w:bCs/>
        </w:rPr>
        <w:t>Profit Margin</w:t>
      </w:r>
      <w:r w:rsidRPr="00403A26">
        <w:t>: 12.47%</w:t>
      </w:r>
    </w:p>
    <w:p w14:paraId="19AA870A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Year-over-Year (YoY) Growth:</w:t>
      </w:r>
    </w:p>
    <w:p w14:paraId="3E0B3E69" w14:textId="77777777" w:rsidR="00403A26" w:rsidRPr="00403A26" w:rsidRDefault="00403A26" w:rsidP="00403A26">
      <w:pPr>
        <w:numPr>
          <w:ilvl w:val="0"/>
          <w:numId w:val="2"/>
        </w:numPr>
      </w:pPr>
      <w:r w:rsidRPr="00403A26">
        <w:rPr>
          <w:b/>
          <w:bCs/>
        </w:rPr>
        <w:t>Sales Growth</w:t>
      </w:r>
      <w:r w:rsidRPr="00403A26">
        <w:t xml:space="preserve">: </w:t>
      </w:r>
      <w:r w:rsidRPr="00403A26">
        <w:rPr>
          <w:rFonts w:ascii="Arial" w:hAnsi="Arial" w:cs="Arial"/>
        </w:rPr>
        <w:t>▲</w:t>
      </w:r>
      <w:r w:rsidRPr="00403A26">
        <w:t xml:space="preserve"> 20.62%</w:t>
      </w:r>
    </w:p>
    <w:p w14:paraId="50660953" w14:textId="77777777" w:rsidR="00403A26" w:rsidRPr="00403A26" w:rsidRDefault="00403A26" w:rsidP="00403A26">
      <w:pPr>
        <w:numPr>
          <w:ilvl w:val="0"/>
          <w:numId w:val="2"/>
        </w:numPr>
      </w:pPr>
      <w:r w:rsidRPr="00403A26">
        <w:rPr>
          <w:b/>
          <w:bCs/>
        </w:rPr>
        <w:t>Profit Growth</w:t>
      </w:r>
      <w:r w:rsidRPr="00403A26">
        <w:t xml:space="preserve">: </w:t>
      </w:r>
      <w:r w:rsidRPr="00403A26">
        <w:rPr>
          <w:rFonts w:ascii="Arial" w:hAnsi="Arial" w:cs="Arial"/>
        </w:rPr>
        <w:t>▲</w:t>
      </w:r>
      <w:r w:rsidRPr="00403A26">
        <w:t xml:space="preserve"> 14.41%</w:t>
      </w:r>
    </w:p>
    <w:p w14:paraId="7580A46B" w14:textId="77777777" w:rsidR="00403A26" w:rsidRPr="00403A26" w:rsidRDefault="00403A26" w:rsidP="00403A26">
      <w:pPr>
        <w:numPr>
          <w:ilvl w:val="0"/>
          <w:numId w:val="2"/>
        </w:numPr>
      </w:pPr>
      <w:r w:rsidRPr="00403A26">
        <w:rPr>
          <w:b/>
          <w:bCs/>
        </w:rPr>
        <w:t>Quantity Growth</w:t>
      </w:r>
      <w:r w:rsidRPr="00403A26">
        <w:t xml:space="preserve">: </w:t>
      </w:r>
      <w:r w:rsidRPr="00403A26">
        <w:rPr>
          <w:rFonts w:ascii="Arial" w:hAnsi="Arial" w:cs="Arial"/>
        </w:rPr>
        <w:t>▲</w:t>
      </w:r>
      <w:r w:rsidRPr="00403A26">
        <w:t xml:space="preserve"> 27.45%</w:t>
      </w:r>
    </w:p>
    <w:p w14:paraId="633092F5" w14:textId="77777777" w:rsidR="00403A26" w:rsidRPr="00403A26" w:rsidRDefault="00403A26" w:rsidP="00403A26">
      <w:pPr>
        <w:numPr>
          <w:ilvl w:val="0"/>
          <w:numId w:val="2"/>
        </w:numPr>
      </w:pPr>
      <w:r w:rsidRPr="00403A26">
        <w:rPr>
          <w:b/>
          <w:bCs/>
        </w:rPr>
        <w:t>Orders Growth</w:t>
      </w:r>
      <w:r w:rsidRPr="00403A26">
        <w:t xml:space="preserve">: </w:t>
      </w:r>
      <w:r w:rsidRPr="00403A26">
        <w:rPr>
          <w:rFonts w:ascii="Arial" w:hAnsi="Arial" w:cs="Arial"/>
        </w:rPr>
        <w:t>▲</w:t>
      </w:r>
      <w:r w:rsidRPr="00403A26">
        <w:t xml:space="preserve"> 28.64%</w:t>
      </w:r>
    </w:p>
    <w:p w14:paraId="5982A508" w14:textId="77777777" w:rsidR="00403A26" w:rsidRPr="00403A26" w:rsidRDefault="00403A26" w:rsidP="00403A26">
      <w:pPr>
        <w:numPr>
          <w:ilvl w:val="0"/>
          <w:numId w:val="2"/>
        </w:numPr>
      </w:pPr>
      <w:r w:rsidRPr="00403A26">
        <w:rPr>
          <w:b/>
          <w:bCs/>
        </w:rPr>
        <w:t>Profit Margin</w:t>
      </w:r>
      <w:r w:rsidRPr="00403A26">
        <w:t xml:space="preserve">: </w:t>
      </w:r>
      <w:r w:rsidRPr="00403A26">
        <w:rPr>
          <w:rFonts w:ascii="Arial" w:hAnsi="Arial" w:cs="Arial"/>
        </w:rPr>
        <w:t>▼</w:t>
      </w:r>
      <w:r w:rsidRPr="00403A26">
        <w:t xml:space="preserve"> 5.15%</w:t>
      </w:r>
    </w:p>
    <w:p w14:paraId="0402108E" w14:textId="41746A59" w:rsidR="00403A26" w:rsidRPr="00403A26" w:rsidRDefault="00403A26" w:rsidP="00403A26">
      <w:r w:rsidRPr="00403A26">
        <w:rPr>
          <w:b/>
          <w:bCs/>
        </w:rPr>
        <w:t>Positive growth</w:t>
      </w:r>
      <w:r w:rsidRPr="00403A26">
        <w:t xml:space="preserve"> across all major KPIs except </w:t>
      </w:r>
      <w:r w:rsidRPr="00403A26">
        <w:rPr>
          <w:b/>
          <w:bCs/>
        </w:rPr>
        <w:t>profit margin</w:t>
      </w:r>
      <w:r w:rsidRPr="00403A26">
        <w:t>, which has declined.</w:t>
      </w:r>
    </w:p>
    <w:p w14:paraId="5E41D999" w14:textId="2A20BE76" w:rsidR="00403A26" w:rsidRPr="00403A26" w:rsidRDefault="00403A26" w:rsidP="00403A26"/>
    <w:p w14:paraId="1F459D66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2. Sales and Profit Trends</w:t>
      </w:r>
    </w:p>
    <w:p w14:paraId="4CB40B39" w14:textId="77777777" w:rsidR="00403A26" w:rsidRPr="00403A26" w:rsidRDefault="00403A26" w:rsidP="00403A26">
      <w:pPr>
        <w:numPr>
          <w:ilvl w:val="0"/>
          <w:numId w:val="3"/>
        </w:numPr>
      </w:pPr>
      <w:r w:rsidRPr="00403A26">
        <w:t xml:space="preserve">Monthly analysis shows a steady increase in both </w:t>
      </w:r>
      <w:r w:rsidRPr="00403A26">
        <w:rPr>
          <w:b/>
          <w:bCs/>
        </w:rPr>
        <w:t>sales</w:t>
      </w:r>
      <w:r w:rsidRPr="00403A26">
        <w:t xml:space="preserve"> and </w:t>
      </w:r>
      <w:r w:rsidRPr="00403A26">
        <w:rPr>
          <w:b/>
          <w:bCs/>
        </w:rPr>
        <w:t>profit</w:t>
      </w:r>
      <w:r w:rsidRPr="00403A26">
        <w:t xml:space="preserve"> from January to December.</w:t>
      </w:r>
    </w:p>
    <w:p w14:paraId="7CA1BC58" w14:textId="60D42FBE" w:rsidR="00403A26" w:rsidRPr="00403A26" w:rsidRDefault="00403A26" w:rsidP="00403A26">
      <w:pPr>
        <w:numPr>
          <w:ilvl w:val="0"/>
          <w:numId w:val="3"/>
        </w:numPr>
      </w:pPr>
      <w:r w:rsidRPr="00403A26">
        <w:t xml:space="preserve">Peak sales occurred in </w:t>
      </w:r>
      <w:r w:rsidRPr="00403A26">
        <w:rPr>
          <w:b/>
          <w:bCs/>
        </w:rPr>
        <w:t>October and December</w:t>
      </w:r>
      <w:r w:rsidRPr="00403A26">
        <w:t>, indicating strong performance during festive/holiday seasons.</w:t>
      </w:r>
    </w:p>
    <w:p w14:paraId="663DDDAC" w14:textId="77777777" w:rsidR="00403A26" w:rsidRDefault="00403A26" w:rsidP="00403A26">
      <w:pPr>
        <w:rPr>
          <w:b/>
          <w:bCs/>
        </w:rPr>
      </w:pPr>
    </w:p>
    <w:p w14:paraId="63C366AA" w14:textId="50CD1224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3. Category-wise Performance</w:t>
      </w:r>
    </w:p>
    <w:p w14:paraId="5A467AC5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Sales Share by Category:</w:t>
      </w:r>
    </w:p>
    <w:p w14:paraId="5CE0D0CD" w14:textId="77777777" w:rsidR="00403A26" w:rsidRPr="00403A26" w:rsidRDefault="00403A26" w:rsidP="00403A26">
      <w:pPr>
        <w:numPr>
          <w:ilvl w:val="0"/>
          <w:numId w:val="4"/>
        </w:numPr>
      </w:pPr>
      <w:r w:rsidRPr="00403A26">
        <w:rPr>
          <w:b/>
          <w:bCs/>
        </w:rPr>
        <w:t>Furniture</w:t>
      </w:r>
      <w:r w:rsidRPr="00403A26">
        <w:t>: 36.40%</w:t>
      </w:r>
    </w:p>
    <w:p w14:paraId="37B71E44" w14:textId="77777777" w:rsidR="00403A26" w:rsidRPr="00403A26" w:rsidRDefault="00403A26" w:rsidP="00403A26">
      <w:pPr>
        <w:numPr>
          <w:ilvl w:val="0"/>
          <w:numId w:val="4"/>
        </w:numPr>
      </w:pPr>
      <w:r w:rsidRPr="00403A26">
        <w:rPr>
          <w:b/>
          <w:bCs/>
        </w:rPr>
        <w:t>Technology</w:t>
      </w:r>
      <w:r w:rsidRPr="00403A26">
        <w:t>: 32.30%</w:t>
      </w:r>
    </w:p>
    <w:p w14:paraId="0710EFB9" w14:textId="77777777" w:rsidR="00403A26" w:rsidRPr="00403A26" w:rsidRDefault="00403A26" w:rsidP="00403A26">
      <w:pPr>
        <w:numPr>
          <w:ilvl w:val="0"/>
          <w:numId w:val="4"/>
        </w:numPr>
      </w:pPr>
      <w:r w:rsidRPr="00403A26">
        <w:rPr>
          <w:b/>
          <w:bCs/>
        </w:rPr>
        <w:t>Office Supplies</w:t>
      </w:r>
      <w:r w:rsidRPr="00403A26">
        <w:t>: 31.30%</w:t>
      </w:r>
    </w:p>
    <w:p w14:paraId="0A32601A" w14:textId="77777777" w:rsidR="00403A26" w:rsidRDefault="00403A26" w:rsidP="00403A26">
      <w:pPr>
        <w:rPr>
          <w:b/>
          <w:bCs/>
        </w:rPr>
      </w:pPr>
    </w:p>
    <w:p w14:paraId="2FC93798" w14:textId="6E6DED38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Category-wise Sales Growth:</w:t>
      </w:r>
    </w:p>
    <w:p w14:paraId="55667C36" w14:textId="77777777" w:rsidR="00403A26" w:rsidRPr="00403A26" w:rsidRDefault="00403A26" w:rsidP="00403A26">
      <w:pPr>
        <w:numPr>
          <w:ilvl w:val="0"/>
          <w:numId w:val="5"/>
        </w:numPr>
      </w:pPr>
      <w:r w:rsidRPr="00403A26">
        <w:rPr>
          <w:b/>
          <w:bCs/>
        </w:rPr>
        <w:t>Furniture</w:t>
      </w:r>
      <w:r w:rsidRPr="00403A26">
        <w:t xml:space="preserve"> led the growth with $286.40K in revenue.</w:t>
      </w:r>
    </w:p>
    <w:p w14:paraId="57B81415" w14:textId="77777777" w:rsidR="00403A26" w:rsidRPr="00403A26" w:rsidRDefault="00403A26" w:rsidP="00403A26">
      <w:pPr>
        <w:numPr>
          <w:ilvl w:val="0"/>
          <w:numId w:val="5"/>
        </w:numPr>
      </w:pPr>
      <w:r w:rsidRPr="00403A26">
        <w:rPr>
          <w:b/>
          <w:bCs/>
        </w:rPr>
        <w:t>Office Supplies</w:t>
      </w:r>
      <w:r w:rsidRPr="00403A26">
        <w:t xml:space="preserve"> and </w:t>
      </w:r>
      <w:r w:rsidRPr="00403A26">
        <w:rPr>
          <w:b/>
          <w:bCs/>
        </w:rPr>
        <w:t>Technology</w:t>
      </w:r>
      <w:r w:rsidRPr="00403A26">
        <w:t xml:space="preserve"> followed with $122.49K and $145.45K, respectively.</w:t>
      </w:r>
    </w:p>
    <w:p w14:paraId="4BE75C1E" w14:textId="77777777" w:rsidR="00403A26" w:rsidRPr="00403A26" w:rsidRDefault="00403A26" w:rsidP="00403A26">
      <w:pPr>
        <w:numPr>
          <w:ilvl w:val="0"/>
          <w:numId w:val="5"/>
        </w:numPr>
      </w:pPr>
      <w:r w:rsidRPr="00403A26">
        <w:t>Positive growth was noted across all categories, reinforcing a diversified sales base.</w:t>
      </w:r>
    </w:p>
    <w:p w14:paraId="05C5D9B9" w14:textId="499D8882" w:rsidR="00403A26" w:rsidRPr="00403A26" w:rsidRDefault="00403A26" w:rsidP="00403A26"/>
    <w:p w14:paraId="123E3420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4. Regional Performance</w:t>
      </w:r>
    </w:p>
    <w:p w14:paraId="77625FA7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Top Performing States:</w:t>
      </w:r>
    </w:p>
    <w:p w14:paraId="13FC7412" w14:textId="77777777" w:rsidR="00403A26" w:rsidRPr="00403A26" w:rsidRDefault="00403A26" w:rsidP="00403A26">
      <w:pPr>
        <w:numPr>
          <w:ilvl w:val="0"/>
          <w:numId w:val="6"/>
        </w:numPr>
      </w:pPr>
      <w:r w:rsidRPr="00403A26">
        <w:rPr>
          <w:b/>
          <w:bCs/>
        </w:rPr>
        <w:t>California</w:t>
      </w:r>
      <w:r w:rsidRPr="00403A26">
        <w:t>: $457.69K</w:t>
      </w:r>
    </w:p>
    <w:p w14:paraId="56FD8751" w14:textId="77777777" w:rsidR="00403A26" w:rsidRPr="00403A26" w:rsidRDefault="00403A26" w:rsidP="00403A26">
      <w:pPr>
        <w:numPr>
          <w:ilvl w:val="0"/>
          <w:numId w:val="6"/>
        </w:numPr>
      </w:pPr>
      <w:r w:rsidRPr="00403A26">
        <w:rPr>
          <w:b/>
          <w:bCs/>
        </w:rPr>
        <w:t>New York</w:t>
      </w:r>
      <w:r w:rsidRPr="00403A26">
        <w:t>: $310.88K</w:t>
      </w:r>
    </w:p>
    <w:p w14:paraId="573D11C8" w14:textId="77777777" w:rsidR="00403A26" w:rsidRPr="00403A26" w:rsidRDefault="00403A26" w:rsidP="00403A26">
      <w:pPr>
        <w:numPr>
          <w:ilvl w:val="0"/>
          <w:numId w:val="6"/>
        </w:numPr>
      </w:pPr>
      <w:r w:rsidRPr="00403A26">
        <w:rPr>
          <w:b/>
          <w:bCs/>
        </w:rPr>
        <w:t>Texas</w:t>
      </w:r>
      <w:r w:rsidRPr="00403A26">
        <w:t>: $170.19K</w:t>
      </w:r>
    </w:p>
    <w:p w14:paraId="5CDFF9F3" w14:textId="77777777" w:rsidR="00403A26" w:rsidRPr="00403A26" w:rsidRDefault="00403A26" w:rsidP="00403A26">
      <w:pPr>
        <w:numPr>
          <w:ilvl w:val="0"/>
          <w:numId w:val="6"/>
        </w:numPr>
      </w:pPr>
      <w:r w:rsidRPr="00403A26">
        <w:rPr>
          <w:b/>
          <w:bCs/>
        </w:rPr>
        <w:t>Washington</w:t>
      </w:r>
      <w:r w:rsidRPr="00403A26">
        <w:t>: $138.64K</w:t>
      </w:r>
    </w:p>
    <w:p w14:paraId="1784C662" w14:textId="77777777" w:rsidR="00403A26" w:rsidRPr="00403A26" w:rsidRDefault="00403A26" w:rsidP="00403A26">
      <w:pPr>
        <w:numPr>
          <w:ilvl w:val="0"/>
          <w:numId w:val="6"/>
        </w:numPr>
      </w:pPr>
      <w:r w:rsidRPr="00403A26">
        <w:rPr>
          <w:b/>
          <w:bCs/>
        </w:rPr>
        <w:t>Pennsylvania</w:t>
      </w:r>
      <w:r w:rsidRPr="00403A26">
        <w:t>: $116.51K</w:t>
      </w:r>
    </w:p>
    <w:p w14:paraId="5BBB4EAE" w14:textId="5208C36E" w:rsidR="00403A26" w:rsidRPr="00403A26" w:rsidRDefault="00403A26" w:rsidP="00403A26">
      <w:r w:rsidRPr="00403A26">
        <w:rPr>
          <w:b/>
          <w:bCs/>
        </w:rPr>
        <w:t>California</w:t>
      </w:r>
      <w:r w:rsidRPr="00403A26">
        <w:t xml:space="preserve"> leads with a significant margin, indicating strong market penetration.</w:t>
      </w:r>
    </w:p>
    <w:p w14:paraId="3BC64214" w14:textId="353E2263" w:rsidR="00403A26" w:rsidRPr="00403A26" w:rsidRDefault="00403A26" w:rsidP="00403A26"/>
    <w:p w14:paraId="3FE1BD13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5. Product-Level Insights</w:t>
      </w:r>
    </w:p>
    <w:p w14:paraId="521F6A80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Top 5 Sub-Categories by Sales:</w:t>
      </w:r>
    </w:p>
    <w:p w14:paraId="1A45A039" w14:textId="77777777" w:rsidR="00403A26" w:rsidRPr="00403A26" w:rsidRDefault="00403A26" w:rsidP="00403A26">
      <w:pPr>
        <w:numPr>
          <w:ilvl w:val="0"/>
          <w:numId w:val="7"/>
        </w:numPr>
      </w:pPr>
      <w:r w:rsidRPr="00403A26">
        <w:rPr>
          <w:b/>
          <w:bCs/>
        </w:rPr>
        <w:t>Phones</w:t>
      </w:r>
      <w:r w:rsidRPr="00403A26">
        <w:t>: $330.01K</w:t>
      </w:r>
    </w:p>
    <w:p w14:paraId="7C205783" w14:textId="77777777" w:rsidR="00403A26" w:rsidRPr="00403A26" w:rsidRDefault="00403A26" w:rsidP="00403A26">
      <w:pPr>
        <w:numPr>
          <w:ilvl w:val="0"/>
          <w:numId w:val="7"/>
        </w:numPr>
      </w:pPr>
      <w:r w:rsidRPr="00403A26">
        <w:rPr>
          <w:b/>
          <w:bCs/>
        </w:rPr>
        <w:t>Chairs</w:t>
      </w:r>
      <w:r w:rsidRPr="00403A26">
        <w:t>: $328.45K</w:t>
      </w:r>
    </w:p>
    <w:p w14:paraId="7FCA2E41" w14:textId="77777777" w:rsidR="00403A26" w:rsidRPr="00403A26" w:rsidRDefault="00403A26" w:rsidP="00403A26">
      <w:pPr>
        <w:numPr>
          <w:ilvl w:val="0"/>
          <w:numId w:val="7"/>
        </w:numPr>
      </w:pPr>
      <w:r w:rsidRPr="00403A26">
        <w:rPr>
          <w:b/>
          <w:bCs/>
        </w:rPr>
        <w:t>Storage</w:t>
      </w:r>
      <w:r w:rsidRPr="00403A26">
        <w:t>: $223.84K</w:t>
      </w:r>
    </w:p>
    <w:p w14:paraId="0A5D6296" w14:textId="77777777" w:rsidR="00403A26" w:rsidRPr="00403A26" w:rsidRDefault="00403A26" w:rsidP="00403A26">
      <w:pPr>
        <w:numPr>
          <w:ilvl w:val="0"/>
          <w:numId w:val="7"/>
        </w:numPr>
      </w:pPr>
      <w:r w:rsidRPr="00403A26">
        <w:rPr>
          <w:b/>
          <w:bCs/>
        </w:rPr>
        <w:t>Tables</w:t>
      </w:r>
      <w:r w:rsidRPr="00403A26">
        <w:t>: $206.97K</w:t>
      </w:r>
    </w:p>
    <w:p w14:paraId="3B9BC86B" w14:textId="77777777" w:rsidR="00403A26" w:rsidRPr="00403A26" w:rsidRDefault="00403A26" w:rsidP="00403A26">
      <w:pPr>
        <w:numPr>
          <w:ilvl w:val="0"/>
          <w:numId w:val="7"/>
        </w:numPr>
      </w:pPr>
      <w:r w:rsidRPr="00403A26">
        <w:rPr>
          <w:b/>
          <w:bCs/>
        </w:rPr>
        <w:t>Binders</w:t>
      </w:r>
      <w:r w:rsidRPr="00403A26">
        <w:t>: $203.41K</w:t>
      </w:r>
    </w:p>
    <w:p w14:paraId="626485FD" w14:textId="77777777" w:rsidR="00403A26" w:rsidRPr="00403A26" w:rsidRDefault="00403A26" w:rsidP="00403A26">
      <w:r w:rsidRPr="00403A26">
        <w:t>Phones and chairs are the most lucrative product lines, indicating potential areas for focused marketing and inventory scaling.</w:t>
      </w:r>
    </w:p>
    <w:p w14:paraId="457521F0" w14:textId="2BB9F81F" w:rsidR="00403A26" w:rsidRPr="00403A26" w:rsidRDefault="00403A26" w:rsidP="00403A26"/>
    <w:p w14:paraId="39A3C4A9" w14:textId="77777777" w:rsidR="00403A26" w:rsidRPr="00403A26" w:rsidRDefault="00403A26" w:rsidP="00403A26">
      <w:pPr>
        <w:rPr>
          <w:b/>
          <w:bCs/>
        </w:rPr>
      </w:pPr>
      <w:r w:rsidRPr="00403A26">
        <w:rPr>
          <w:b/>
          <w:bCs/>
        </w:rPr>
        <w:t>6. Filters for Deeper Insights</w:t>
      </w:r>
    </w:p>
    <w:p w14:paraId="5ABC6461" w14:textId="77777777" w:rsidR="00403A26" w:rsidRPr="00403A26" w:rsidRDefault="00403A26" w:rsidP="00403A26">
      <w:r w:rsidRPr="00403A26">
        <w:t>The dashboard includes interactive filters for:</w:t>
      </w:r>
    </w:p>
    <w:p w14:paraId="0863C70A" w14:textId="77777777" w:rsidR="00403A26" w:rsidRPr="00403A26" w:rsidRDefault="00403A26" w:rsidP="00403A26">
      <w:pPr>
        <w:numPr>
          <w:ilvl w:val="0"/>
          <w:numId w:val="8"/>
        </w:numPr>
      </w:pPr>
      <w:r w:rsidRPr="00403A26">
        <w:rPr>
          <w:b/>
          <w:bCs/>
        </w:rPr>
        <w:t>Year</w:t>
      </w:r>
      <w:r w:rsidRPr="00403A26">
        <w:t>: 2011–2014</w:t>
      </w:r>
    </w:p>
    <w:p w14:paraId="76D79063" w14:textId="77777777" w:rsidR="00403A26" w:rsidRPr="00403A26" w:rsidRDefault="00403A26" w:rsidP="00403A26">
      <w:pPr>
        <w:numPr>
          <w:ilvl w:val="0"/>
          <w:numId w:val="8"/>
        </w:numPr>
      </w:pPr>
      <w:r w:rsidRPr="00403A26">
        <w:rPr>
          <w:b/>
          <w:bCs/>
        </w:rPr>
        <w:t>Region</w:t>
      </w:r>
      <w:r w:rsidRPr="00403A26">
        <w:t>: Central, East, South, West</w:t>
      </w:r>
    </w:p>
    <w:p w14:paraId="46CB2A4A" w14:textId="77777777" w:rsidR="00403A26" w:rsidRPr="00403A26" w:rsidRDefault="00403A26" w:rsidP="00403A26">
      <w:pPr>
        <w:numPr>
          <w:ilvl w:val="0"/>
          <w:numId w:val="8"/>
        </w:numPr>
      </w:pPr>
      <w:r w:rsidRPr="00403A26">
        <w:rPr>
          <w:b/>
          <w:bCs/>
        </w:rPr>
        <w:t>Segment</w:t>
      </w:r>
      <w:r w:rsidRPr="00403A26">
        <w:t>: Consumer, Corporate, Home Office</w:t>
      </w:r>
    </w:p>
    <w:p w14:paraId="7B222A54" w14:textId="77777777" w:rsidR="00403A26" w:rsidRPr="00403A26" w:rsidRDefault="00403A26" w:rsidP="00403A26">
      <w:r w:rsidRPr="00403A26">
        <w:t>These filters enable dynamic analysis tailored to specific time periods, geographies, and customer segments.</w:t>
      </w:r>
    </w:p>
    <w:p w14:paraId="68BEC35C" w14:textId="18709408" w:rsidR="00403A26" w:rsidRPr="00403A26" w:rsidRDefault="00403A26" w:rsidP="00403A26"/>
    <w:p w14:paraId="7959A185" w14:textId="04BF8228" w:rsidR="00403A26" w:rsidRPr="00403A26" w:rsidRDefault="00403A26" w:rsidP="00403A26">
      <w:pPr>
        <w:rPr>
          <w:b/>
          <w:bCs/>
          <w:sz w:val="28"/>
          <w:szCs w:val="28"/>
        </w:rPr>
      </w:pPr>
      <w:r w:rsidRPr="00403A26">
        <w:rPr>
          <w:b/>
          <w:bCs/>
          <w:sz w:val="28"/>
          <w:szCs w:val="28"/>
        </w:rPr>
        <w:lastRenderedPageBreak/>
        <w:t>Conclusion</w:t>
      </w:r>
    </w:p>
    <w:p w14:paraId="7E966A3E" w14:textId="77777777" w:rsidR="00403A26" w:rsidRPr="00403A26" w:rsidRDefault="00403A26" w:rsidP="00403A26">
      <w:r w:rsidRPr="00403A26">
        <w:t xml:space="preserve">The ecommerce business shows strong </w:t>
      </w:r>
      <w:r w:rsidRPr="00403A26">
        <w:rPr>
          <w:b/>
          <w:bCs/>
        </w:rPr>
        <w:t>year-over-year growth</w:t>
      </w:r>
      <w:r w:rsidRPr="00403A26">
        <w:t xml:space="preserve"> in sales, profit, quantity, and orders. However, a </w:t>
      </w:r>
      <w:r w:rsidRPr="00403A26">
        <w:rPr>
          <w:b/>
          <w:bCs/>
        </w:rPr>
        <w:t>decline in profit margin</w:t>
      </w:r>
      <w:r w:rsidRPr="00403A26">
        <w:t xml:space="preserve"> suggests increasing costs or discounting strategies. Strong performance in </w:t>
      </w:r>
      <w:r w:rsidRPr="00403A26">
        <w:rPr>
          <w:b/>
          <w:bCs/>
        </w:rPr>
        <w:t>California</w:t>
      </w:r>
      <w:r w:rsidRPr="00403A26">
        <w:t xml:space="preserve">, </w:t>
      </w:r>
      <w:r w:rsidRPr="00403A26">
        <w:rPr>
          <w:b/>
          <w:bCs/>
        </w:rPr>
        <w:t>Phones</w:t>
      </w:r>
      <w:r w:rsidRPr="00403A26">
        <w:t xml:space="preserve">, and </w:t>
      </w:r>
      <w:r w:rsidRPr="00403A26">
        <w:rPr>
          <w:b/>
          <w:bCs/>
        </w:rPr>
        <w:t>Furniture</w:t>
      </w:r>
      <w:r w:rsidRPr="00403A26">
        <w:t xml:space="preserve"> categories offers opportunities for strategic focus.</w:t>
      </w:r>
    </w:p>
    <w:p w14:paraId="3EB61A42" w14:textId="77777777" w:rsidR="00403A26" w:rsidRDefault="00403A26" w:rsidP="00403A26">
      <w:pPr>
        <w:rPr>
          <w:b/>
          <w:bCs/>
          <w:sz w:val="32"/>
          <w:szCs w:val="32"/>
        </w:rPr>
      </w:pPr>
    </w:p>
    <w:p w14:paraId="65EE5F00" w14:textId="77777777" w:rsidR="00403A26" w:rsidRDefault="00403A26" w:rsidP="00403A26">
      <w:pPr>
        <w:rPr>
          <w:b/>
          <w:bCs/>
          <w:sz w:val="32"/>
          <w:szCs w:val="32"/>
        </w:rPr>
      </w:pPr>
    </w:p>
    <w:p w14:paraId="6B76C156" w14:textId="6B1A2AF1" w:rsidR="00403A26" w:rsidRPr="00403A26" w:rsidRDefault="00403A26" w:rsidP="00403A26">
      <w:pPr>
        <w:rPr>
          <w:b/>
          <w:bCs/>
          <w:sz w:val="32"/>
          <w:szCs w:val="32"/>
        </w:rPr>
      </w:pPr>
      <w:r w:rsidRPr="00403A26">
        <w:rPr>
          <w:b/>
          <w:bCs/>
          <w:sz w:val="32"/>
          <w:szCs w:val="32"/>
        </w:rPr>
        <w:t>Recommendation:</w:t>
      </w:r>
    </w:p>
    <w:p w14:paraId="45E3E0F9" w14:textId="77777777" w:rsidR="00403A26" w:rsidRPr="00403A26" w:rsidRDefault="00403A26" w:rsidP="00403A26">
      <w:pPr>
        <w:numPr>
          <w:ilvl w:val="0"/>
          <w:numId w:val="9"/>
        </w:numPr>
      </w:pPr>
      <w:r w:rsidRPr="00403A26">
        <w:t>Investigate reasons for declining profit margins.</w:t>
      </w:r>
    </w:p>
    <w:p w14:paraId="523A9D7A" w14:textId="77777777" w:rsidR="00403A26" w:rsidRPr="00403A26" w:rsidRDefault="00403A26" w:rsidP="00403A26">
      <w:pPr>
        <w:numPr>
          <w:ilvl w:val="0"/>
          <w:numId w:val="9"/>
        </w:numPr>
      </w:pPr>
      <w:r w:rsidRPr="00403A26">
        <w:t>Focus on high-performing regions and product categories.</w:t>
      </w:r>
    </w:p>
    <w:p w14:paraId="2DB8362D" w14:textId="77777777" w:rsidR="00403A26" w:rsidRPr="00403A26" w:rsidRDefault="00403A26" w:rsidP="00403A26">
      <w:pPr>
        <w:numPr>
          <w:ilvl w:val="0"/>
          <w:numId w:val="9"/>
        </w:numPr>
      </w:pPr>
      <w:r w:rsidRPr="00403A26">
        <w:t>Leverage strong YoY growth to drive further expansion and optimization.</w:t>
      </w:r>
    </w:p>
    <w:p w14:paraId="1E24541D" w14:textId="77777777" w:rsidR="00EF2AA0" w:rsidRDefault="00EF2AA0" w:rsidP="00403A26"/>
    <w:sectPr w:rsidR="00EF2AA0" w:rsidSect="00403A26"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2C6"/>
    <w:multiLevelType w:val="multilevel"/>
    <w:tmpl w:val="2D8A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B329A"/>
    <w:multiLevelType w:val="multilevel"/>
    <w:tmpl w:val="01B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835E5"/>
    <w:multiLevelType w:val="multilevel"/>
    <w:tmpl w:val="A1E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96F0C"/>
    <w:multiLevelType w:val="multilevel"/>
    <w:tmpl w:val="ED0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53AB2"/>
    <w:multiLevelType w:val="multilevel"/>
    <w:tmpl w:val="EBD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A2FBF"/>
    <w:multiLevelType w:val="multilevel"/>
    <w:tmpl w:val="D7A2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140A7"/>
    <w:multiLevelType w:val="multilevel"/>
    <w:tmpl w:val="2F3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362EE"/>
    <w:multiLevelType w:val="multilevel"/>
    <w:tmpl w:val="46B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61B5C"/>
    <w:multiLevelType w:val="multilevel"/>
    <w:tmpl w:val="91D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35987">
    <w:abstractNumId w:val="3"/>
  </w:num>
  <w:num w:numId="2" w16cid:durableId="440153159">
    <w:abstractNumId w:val="6"/>
  </w:num>
  <w:num w:numId="3" w16cid:durableId="840240294">
    <w:abstractNumId w:val="2"/>
  </w:num>
  <w:num w:numId="4" w16cid:durableId="18506182">
    <w:abstractNumId w:val="5"/>
  </w:num>
  <w:num w:numId="5" w16cid:durableId="261306534">
    <w:abstractNumId w:val="1"/>
  </w:num>
  <w:num w:numId="6" w16cid:durableId="149953707">
    <w:abstractNumId w:val="8"/>
  </w:num>
  <w:num w:numId="7" w16cid:durableId="1150169870">
    <w:abstractNumId w:val="0"/>
  </w:num>
  <w:num w:numId="8" w16cid:durableId="735129362">
    <w:abstractNumId w:val="4"/>
  </w:num>
  <w:num w:numId="9" w16cid:durableId="1358698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EF"/>
    <w:rsid w:val="002A41A4"/>
    <w:rsid w:val="00403A26"/>
    <w:rsid w:val="00545F20"/>
    <w:rsid w:val="00954EB6"/>
    <w:rsid w:val="0096451E"/>
    <w:rsid w:val="00AA0DAA"/>
    <w:rsid w:val="00BA1FEF"/>
    <w:rsid w:val="00E56017"/>
    <w:rsid w:val="00EF2AA0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E241"/>
  <w15:chartTrackingRefBased/>
  <w15:docId w15:val="{42816944-67C5-4605-91A8-FF1F527F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Budarpur</dc:creator>
  <cp:keywords/>
  <dc:description/>
  <cp:lastModifiedBy>Arunkumar Budarpur</cp:lastModifiedBy>
  <cp:revision>2</cp:revision>
  <dcterms:created xsi:type="dcterms:W3CDTF">2025-08-06T15:01:00Z</dcterms:created>
  <dcterms:modified xsi:type="dcterms:W3CDTF">2025-08-06T15:01:00Z</dcterms:modified>
</cp:coreProperties>
</file>