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2.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Pathway-Aware Multimodal Transformer for Gigapixel Pathology and Genomic Survival Prediction in Bladder Cancer</w:t>
      </w:r>
    </w:p>
    <w:tbl>
      <w:tblPr>
        <w:tblW w:w="1036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456"/>
        <w:gridCol w:w="3456"/>
        <w:gridCol w:w="3456"/>
      </w:tblGrid>
      <w:tr>
        <w:trPr/>
        <w:tc>
          <w:tcPr>
            <w:tcW w:w="3456" w:type="dxa"/>
            <w:tcBorders/>
          </w:tcPr>
          <w:p>
            <w:pPr>
              <w:pStyle w:val="Author"/>
              <w:spacing w:before="360" w:after="120"/>
              <w:jc w:val="center"/>
              <w:rPr/>
            </w:pPr>
            <w:r>
              <w:rPr>
                <w:b/>
              </w:rPr>
              <w:t>Gowtham Raj M</w:t>
            </w:r>
            <w:r>
              <w:rPr/>
              <w:br/>
            </w:r>
            <w:r>
              <w:rPr/>
              <w:t>Assitant Professor</w:t>
            </w:r>
          </w:p>
          <w:p>
            <w:pPr>
              <w:pStyle w:val="Author"/>
              <w:spacing w:before="360" w:after="120"/>
              <w:jc w:val="center"/>
              <w:rPr/>
            </w:pPr>
            <w:r>
              <w:rPr>
                <w:b w:val="false"/>
                <w:sz w:val="20"/>
              </w:rPr>
              <w:t>CSE, KSIT</w:t>
            </w:r>
            <w:r>
              <w:rPr/>
              <w:br/>
            </w:r>
            <w:r>
              <w:rPr>
                <w:b w:val="false"/>
                <w:sz w:val="20"/>
              </w:rPr>
              <w:t>Bengaluru, India</w:t>
            </w:r>
            <w:r>
              <w:rPr/>
              <w:br/>
            </w:r>
            <w:hyperlink r:id="rId2">
              <w:r>
                <w:rPr>
                  <w:rStyle w:val="Hyperlink"/>
                  <w:b w:val="false"/>
                  <w:sz w:val="20"/>
                </w:rPr>
                <w:t>gowthamra</w:t>
              </w:r>
              <w:r>
                <w:rPr>
                  <w:rStyle w:val="Hyperlink"/>
                  <w:b w:val="false"/>
                  <w:sz w:val="20"/>
                </w:rPr>
                <w:t>j</w:t>
              </w:r>
              <w:r>
                <w:rPr>
                  <w:rStyle w:val="Hyperlink"/>
                  <w:b w:val="false"/>
                  <w:sz w:val="20"/>
                </w:rPr>
                <w:t>@</w:t>
              </w:r>
              <w:r>
                <w:rPr>
                  <w:rStyle w:val="Hyperlink"/>
                  <w:b w:val="false"/>
                  <w:sz w:val="20"/>
                </w:rPr>
                <w:t>ksit.edu.in</w:t>
              </w:r>
            </w:hyperlink>
          </w:p>
        </w:tc>
        <w:tc>
          <w:tcPr>
            <w:tcW w:w="3456" w:type="dxa"/>
            <w:tcBorders/>
          </w:tcPr>
          <w:p>
            <w:pPr>
              <w:pStyle w:val="Normal"/>
              <w:jc w:val="center"/>
              <w:rPr/>
            </w:pPr>
            <w:r>
              <w:rPr/>
            </w:r>
          </w:p>
          <w:p>
            <w:pPr>
              <w:pStyle w:val="Normal"/>
              <w:jc w:val="center"/>
              <w:rPr/>
            </w:pPr>
            <w:r>
              <w:rPr/>
              <w:t>Arun Chavan</w:t>
              <w:br/>
              <w:t>CSE, KSIT</w:t>
              <w:br/>
              <w:t>Bengaluru, India</w:t>
              <w:br/>
              <w:t>arun.chavan@example.com</w:t>
            </w:r>
          </w:p>
        </w:tc>
        <w:tc>
          <w:tcPr>
            <w:tcW w:w="3456" w:type="dxa"/>
            <w:tcBorders/>
          </w:tcPr>
          <w:p>
            <w:pPr>
              <w:pStyle w:val="Normal"/>
              <w:jc w:val="center"/>
              <w:rPr/>
            </w:pPr>
            <w:r>
              <w:rPr/>
            </w:r>
          </w:p>
          <w:p>
            <w:pPr>
              <w:pStyle w:val="Normal"/>
              <w:jc w:val="center"/>
              <w:rPr/>
            </w:pPr>
            <w:r>
              <w:rPr/>
              <w:t>Bhuvan B</w:t>
              <w:br/>
              <w:t>CSE, KSIT</w:t>
              <w:br/>
              <w:t>Bengaluru, India</w:t>
              <w:br/>
              <w:t>bhuvan.b@example.com</w:t>
            </w:r>
          </w:p>
        </w:tc>
      </w:tr>
    </w:tbl>
    <w:p>
      <w:pPr>
        <w:pStyle w:val="Normal"/>
        <w:spacing w:before="0" w:after="0"/>
        <w:rPr/>
      </w:pPr>
      <w:r>
        <w:rPr/>
      </w:r>
    </w:p>
    <w:tbl>
      <w:tblPr>
        <w:tblW w:w="6912"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456"/>
        <w:gridCol w:w="3456"/>
      </w:tblGrid>
      <w:tr>
        <w:trPr/>
        <w:tc>
          <w:tcPr>
            <w:tcW w:w="3456" w:type="dxa"/>
            <w:tcBorders/>
          </w:tcPr>
          <w:p>
            <w:pPr>
              <w:pStyle w:val="Normal"/>
              <w:jc w:val="center"/>
              <w:rPr/>
            </w:pPr>
            <w:r>
              <w:rPr/>
              <w:t>Charan Sai Tej K V</w:t>
              <w:br/>
              <w:t>CSE, KSIT</w:t>
              <w:br/>
              <w:t>Bengaluru, India</w:t>
              <w:br/>
              <w:t>charansaitej.kv@example.com</w:t>
            </w:r>
          </w:p>
        </w:tc>
        <w:tc>
          <w:tcPr>
            <w:tcW w:w="3456" w:type="dxa"/>
            <w:tcBorders/>
          </w:tcPr>
          <w:p>
            <w:pPr>
              <w:pStyle w:val="Normal"/>
              <w:jc w:val="center"/>
              <w:rPr/>
            </w:pPr>
            <w:r>
              <w:rPr/>
              <w:t>Charan Teja G S</w:t>
              <w:br/>
              <w:t>CSE, KSIT</w:t>
              <w:br/>
              <w:t>Bengaluru, India</w:t>
              <w:br/>
              <w:t>charanteja.gs@example.com</w:t>
            </w:r>
          </w:p>
        </w:tc>
      </w:tr>
    </w:tbl>
    <w:p>
      <w:pPr>
        <w:pStyle w:val="Normal"/>
        <w:spacing w:before="0" w:after="0"/>
        <w:rPr/>
      </w:pPr>
      <w:r>
        <w:rPr/>
      </w:r>
    </w:p>
    <w:p>
      <w:pPr>
        <w:pStyle w:val="BodyText"/>
        <w:rPr/>
      </w:pPr>
      <w:r>
        <w:rPr/>
        <w:t>Abstract— Existing AI-based cancer survival prediction systems rely heavily on single-modality data analysis or coarse multimodal fusion, failing to capture the complex biological interactions between cellular morphology and genomic expression. This paper presents the OncoBot System, an advanced Pathway-Aware Multimodal Transformer architecture designed specifically for Bladder Urothelial Carcinoma (TCGA-BLCA). The model predicts a Cox Proportional Hazards (Cox-PH) survival score by cross-attending gigapixel Whole-Slide Image (WSI) features with RNA-Seq genomic data masked by 320 standard KEGG pathways. To overcome the computational bottleneck of 4GB pathological images, we deployed a distributed cloud-streaming extraction pipeline utilizing the Meta DINO ViT-S/16 Vision Transformer, diverging from traditional CNN-based feature extractors. On a clinical cohort of 403 patients utilizing a rigorous 80/20 train/test split, the cross-attention network converged successfully, dropping validation loss from 1.0912 to 1.0836 over 10 epochs. Unlike baseline architectures which output uninterpretable numerical risk scores, the raw mathematical risk score from OncoBot is subsequently passed through a Large Language Model (LLM) generation layer to synthesize multidisciplinary clinical reports. Furthermore, the architecture solves the browser-rendering limit via an S3-based Deep Zoom Image (DZI) web platform equipped with OpenSeadragon and HTML5 Canvas, enabling physicians to view interactive spatial attention heatmaps of gigapixel WSIs without system failure. This end-to-end framework bridges the critical gap between computational accuracy and clinical interpretability.</w:t>
      </w:r>
    </w:p>
    <w:p>
      <w:pPr>
        <w:pStyle w:val="Keywords"/>
        <w:rPr/>
      </w:pPr>
      <w:r>
        <w:rPr/>
        <w:t>Keywords— multimodal deep learning, cross-attention transformer, gigapixel pathology, whole-slide images, survival prediction, KEGG pathways, generative AI in healthcare, vision transformers.</w:t>
      </w:r>
    </w:p>
    <w:p>
      <w:pPr>
        <w:pStyle w:val="Heading1"/>
        <w:numPr>
          <w:ilvl w:val="0"/>
          <w:numId w:val="0"/>
        </w:numPr>
        <w:ind w:hanging="0" w:start="0"/>
        <w:rPr/>
      </w:pPr>
      <w:r>
        <w:rPr/>
      </w:r>
    </w:p>
    <w:p>
      <w:pPr>
        <w:sectPr>
          <w:type w:val="nextPage"/>
          <w:pgSz w:w="12240" w:h="15840"/>
          <w:pgMar w:left="893" w:right="893" w:gutter="0" w:header="0" w:top="1080" w:footer="0" w:bottom="1440"/>
          <w:pgNumType w:fmt="decimal"/>
          <w:formProt w:val="false"/>
          <w:textDirection w:val="lrTb"/>
          <w:docGrid w:type="default" w:linePitch="600" w:charSpace="40960"/>
        </w:sectPr>
      </w:pPr>
    </w:p>
    <w:p>
      <w:pPr>
        <w:pStyle w:val="Heading1"/>
        <w:ind w:hanging="0"/>
        <w:rPr/>
      </w:pPr>
      <w:r>
        <w:rPr/>
        <w:t>Introduction</w:t>
      </w:r>
    </w:p>
    <w:p>
      <w:pPr>
        <w:pStyle w:val="BodyText"/>
        <w:ind w:hanging="0" w:start="0"/>
        <w:rPr/>
      </w:pPr>
      <w:r>
        <w:rPr/>
        <w:t>The clinical management of Bladder Urothelial Carcinoma demands highly accurate, patient-specific prognostic markers. Modern oncology utilizes both high-resolution histopathological imaging and comprehensive genomic profiling (RNA-Seq) to determine tumor aggressiveness. Histopathology provides unparalleled spatial resolution regarding cellular morphology, nuclear pleomorphism, and tissue architecture. Conversely, genomic profiling reveals the underlying molecular drivers and dysregulated biological pathways that dictate metastatic potential. However, human pathologists cannot process multi-gigabyte Whole-Slide Images (WSIs) at a cellular level simultaneously with thousands of transcriptomic data points. While recent studies have applied deep learning to pathology [1] and genomics [2] independently, the fusion of these disparate domains remains computationally expensive and difficult to interpret clinically.</w:t>
      </w:r>
    </w:p>
    <w:p>
      <w:pPr>
        <w:pStyle w:val="BodyText"/>
        <w:rPr/>
      </w:pPr>
      <w:r>
        <w:rPr/>
        <w:t>OncoBot addresses this problem by formulating a Pathway-Aware Multimodal Survival Prediction task. Given a 4GB WSI (.svs), an RNA-Seq matrix, and clinical data, the system predicts the patient's Cox-PH survival hazard. Rather than indiscriminately flattening genomic data into a black-box neural network, our architecture maps transcriptomic expression specifically to 320 distinct KEGG biological pathways. This biologically-grounded vector acts as the "Query" in a cross-attention transformer, utilizing spatial pathological features as the "Key/Value".</w:t>
      </w:r>
    </w:p>
    <w:p>
      <w:pPr>
        <w:pStyle w:val="BodyText"/>
        <w:ind w:hanging="0" w:start="0"/>
        <w:rPr/>
      </w:pPr>
      <w:r>
        <w:rPr/>
        <w:t>This paper makes several critical contributions designed to operationalize this theoretical framework into a production-grade clinical tool:</w:t>
      </w:r>
    </w:p>
    <w:p>
      <w:pPr>
        <w:pStyle w:val="BodyText"/>
        <w:ind w:hanging="0" w:start="0"/>
        <w:rPr/>
      </w:pPr>
      <w:r>
        <w:rPr/>
        <w:t>1. We formulate a distributed cloud-to-local pipeline capable of streaming 4GB WSIs directly from AWS S3, bypassing hardware constraints via OpenSlide thumbnailing and controlled multiprocessing.</w:t>
      </w:r>
    </w:p>
    <w:p>
      <w:pPr>
        <w:pStyle w:val="BodyText"/>
        <w:ind w:hanging="0" w:start="0"/>
        <w:rPr/>
      </w:pPr>
      <w:r>
        <w:rPr/>
        <w:t>2. We implement a hybrid cross-attention pipeline combining Meta DINO ViT-S/16 extracted patches with KEGG-masked genomic embeddings, moving away from legacy ResNet feature extractors.</w:t>
      </w:r>
    </w:p>
    <w:p>
      <w:pPr>
        <w:pStyle w:val="BodyText"/>
        <w:ind w:hanging="288" w:start="288"/>
        <w:rPr/>
      </w:pPr>
      <w:r>
        <w:rPr/>
        <w:t>3. We integrate an automated Large Language Model (LLM) interpretability layer that translates numerical Cox-PH risk scores and spatial attention coordinates into a structured Multidisciplinary Tumor Board Action Plan.</w:t>
      </w:r>
    </w:p>
    <w:p>
      <w:pPr>
        <w:pStyle w:val="BodyText"/>
        <w:ind w:hanging="288" w:start="288"/>
        <w:rPr/>
      </w:pPr>
      <w:r>
        <w:rPr/>
        <w:t>4. We present a production-grade Web Architecture utilizing Multi-part S3 Uploads, Deep Zoom Image (DZI) Pyramids, and OpenSeadragon to render gigapixel spatial heatmaps seamlessly in standard web browsers.</w:t>
      </w:r>
    </w:p>
    <w:p>
      <w:pPr>
        <w:pStyle w:val="Heading1"/>
        <w:ind w:hanging="288" w:start="288"/>
        <w:rPr/>
      </w:pPr>
      <w:r>
        <w:rPr/>
        <w:t>Related Work</w:t>
      </w:r>
    </w:p>
    <w:p>
      <w:pPr>
        <w:pStyle w:val="BodyText"/>
        <w:spacing w:before="0" w:after="6"/>
        <w:ind w:hanging="288" w:start="288"/>
        <w:rPr/>
      </w:pPr>
      <w:r>
        <w:rPr/>
        <w:t>Recent precision oncology research focuses heavily on</w:t>
      </w:r>
    </w:p>
    <w:p>
      <w:pPr>
        <w:pStyle w:val="BodyText"/>
        <w:spacing w:before="0" w:after="6"/>
        <w:ind w:hanging="288" w:start="288"/>
        <w:rPr/>
      </w:pPr>
      <w:r>
        <w:rPr/>
        <w:t>multimodal fusion models. However, the methods of data</w:t>
      </w:r>
    </w:p>
    <w:p>
      <w:pPr>
        <w:pStyle w:val="BodyText"/>
        <w:spacing w:before="0" w:after="6"/>
        <w:ind w:hanging="288" w:start="288"/>
        <w:rPr/>
      </w:pPr>
      <w:r>
        <w:rPr/>
        <w:t>integration vary substantially. Early approaches relied on late</w:t>
      </w:r>
    </w:p>
    <w:p>
      <w:pPr>
        <w:pStyle w:val="BodyText"/>
        <w:spacing w:before="0" w:after="6"/>
        <w:ind w:hanging="288" w:start="288"/>
        <w:rPr/>
      </w:pPr>
      <w:r>
        <w:rPr/>
        <w:t>fusion models, where parallel Convolutional Neural Networks</w:t>
      </w:r>
    </w:p>
    <w:p>
      <w:pPr>
        <w:pStyle w:val="BodyText"/>
        <w:spacing w:before="0" w:after="6"/>
        <w:ind w:hanging="288" w:start="288"/>
        <w:rPr/>
      </w:pPr>
      <w:r>
        <w:rPr/>
        <w:t>(CNNs) and Multi-Layer Perceptrons (MLPs) were trained</w:t>
      </w:r>
    </w:p>
    <w:p>
      <w:pPr>
        <w:pStyle w:val="BodyText"/>
        <w:spacing w:before="0" w:after="6"/>
        <w:ind w:hanging="288" w:start="288"/>
        <w:rPr/>
      </w:pPr>
      <w:r>
        <w:rPr/>
        <w:t>independently on histology and genomics respectively, and</w:t>
      </w:r>
    </w:p>
    <w:p>
      <w:pPr>
        <w:pStyle w:val="BodyText"/>
        <w:spacing w:before="0" w:after="6"/>
        <w:ind w:hanging="288" w:start="288"/>
        <w:rPr/>
      </w:pPr>
      <w:r>
        <w:rPr/>
        <w:t>subsequently ensembled at the final fully connected layer [3].</w:t>
      </w:r>
    </w:p>
    <w:p>
      <w:pPr>
        <w:pStyle w:val="BodyText"/>
        <w:spacing w:before="0" w:after="6"/>
        <w:ind w:hanging="288" w:start="288"/>
        <w:rPr/>
      </w:pPr>
      <w:r>
        <w:rPr/>
        <w:t>While computationally cheaper, these models fail to learn the</w:t>
      </w:r>
    </w:p>
    <w:p>
      <w:pPr>
        <w:pStyle w:val="BodyText"/>
        <w:spacing w:before="0" w:after="6"/>
        <w:ind w:hanging="288" w:start="288"/>
        <w:rPr/>
      </w:pPr>
      <w:r>
        <w:rPr/>
        <w:t>critical inter-modality interactions—for example, how the</w:t>
      </w:r>
    </w:p>
    <w:p>
      <w:pPr>
        <w:pStyle w:val="BodyText"/>
        <w:spacing w:before="0" w:after="6"/>
        <w:ind w:hanging="288" w:start="288"/>
        <w:rPr/>
      </w:pPr>
      <w:r>
        <w:rPr/>
        <w:t>upregulation of the PI3K/AKT genomic pathway physically</w:t>
      </w:r>
    </w:p>
    <w:p>
      <w:pPr>
        <w:pStyle w:val="BodyText"/>
        <w:spacing w:before="0" w:after="6"/>
        <w:ind w:hanging="288" w:start="288"/>
        <w:rPr/>
      </w:pPr>
      <w:r>
        <w:rPr/>
        <w:t>manifests as nuclear pleomorphism in a specific localized</w:t>
      </w:r>
    </w:p>
    <w:p>
      <w:pPr>
        <w:pStyle w:val="BodyText"/>
        <w:spacing w:before="0" w:after="6"/>
        <w:ind w:hanging="288" w:start="288"/>
        <w:rPr/>
      </w:pPr>
      <w:r>
        <w:rPr/>
        <w:t>spatial patch of the tissue.</w:t>
      </w:r>
    </w:p>
    <w:p>
      <w:pPr>
        <w:pStyle w:val="BodyText"/>
        <w:ind w:hanging="0" w:start="0"/>
        <w:rPr/>
      </w:pPr>
      <w:r>
        <w:rPr/>
      </w:r>
    </w:p>
    <w:p>
      <w:pPr>
        <w:pStyle w:val="BodyText"/>
        <w:ind w:hanging="0" w:start="0"/>
        <w:rPr/>
      </w:pPr>
      <w:r>
        <w:rPr/>
        <w:t>Recent advancements have introduced Kronecker-product and bilinear pooling [4] for deeper fusion. However, these methods suffer from severe dimensionality explosion when processing the 10,000+ patches found in a single gigapixel WSI. To circumvent this, attention-based mechanisms have emerged as the gold standard, allowing networks to learn localized attention weights, scaling linearly with patch count while retaining explainability.</w:t>
      </w:r>
    </w:p>
    <w:p>
      <w:pPr>
        <w:pStyle w:val="Heading1"/>
        <w:ind w:hanging="0"/>
        <w:rPr/>
      </w:pPr>
      <w:r>
        <w:rPr/>
        <w:t>Comparison with the Baseline PAMT Architecture</w:t>
      </w:r>
    </w:p>
    <w:p>
      <w:pPr>
        <w:pStyle w:val="BodyText"/>
        <w:ind w:hanging="0" w:start="0"/>
        <w:rPr/>
      </w:pPr>
      <w:r>
        <w:rPr/>
        <w:t>Our work builds upon, but significantly diverges from, the foundational Pathway-Aware Multimodal Transformer (PAMT) architecture [5]. While the original PAMT established the theoretical viability of mapping transcriptomic vectors to KEGG pathways for cross-attention against WSI patches, the OncoBot architecture improves upon the baseline in three critical operational and clinical dimensions:</w:t>
      </w:r>
    </w:p>
    <w:p>
      <w:pPr>
        <w:pStyle w:val="BodyText"/>
        <w:ind w:hanging="0" w:start="0"/>
        <w:rPr/>
      </w:pPr>
      <w:r>
        <w:rPr/>
        <w:t>1. Vision Transformer (ViT) Feature Extraction: The base PAMT methodology utilized traditional CNNs (such as ResNet-50) for extracting visual features from tissue patches. OncoBot discards the CNN paradigm entirely in favor of the Meta DINO ViT-S/16 Vision Transformer. DINO utilizes self-distillation with no labels to capture global cellular morphology and intricate textural patterns that localized CNN convolutions often miss, compressing 4GB of visual data into a denser, richer 384-dimensional latent space.</w:t>
      </w:r>
    </w:p>
    <w:p>
      <w:pPr>
        <w:pStyle w:val="BodyText"/>
        <w:ind w:hanging="0" w:start="0"/>
        <w:rPr/>
      </w:pPr>
      <w:r>
        <w:rPr/>
        <w:t>2. Cloud MLOps and Memory Leak Mitigation: The baseline PAMT paper evaluates data on static, highly localized datasets assuming infinite local disk space. Our implementation targets real-world clinical deployment constraints. We built a distributed Kaggle/AWS S3 streaming architecture resolving the notorious C-level OpenSlide memory leak. By utilizing a get_thumbnail(2048, 2048) pre-masking step and strictly controlled multiprocessing garbage collection, OncoBot processes 403 massive patients seamlessly.</w:t>
      </w:r>
    </w:p>
    <w:p>
      <w:pPr>
        <w:pStyle w:val="BodyText"/>
        <w:ind w:hanging="0" w:start="0"/>
        <w:rPr/>
      </w:pPr>
      <w:r>
        <w:rPr/>
        <w:t>3. Clinical Interpretability via Generative AI: PAMT outputs a raw numerical hazard ratio and a static spatial heatmap. While mathematically useful, a hazard ratio of 1.45 means little to a practicing oncologist without context. OncoBot pioneers the integration of an automated LLM (utilizing Ollama/Minimax 31B parameters). The cross-attention weights are intercepted and parsed as a textual prompt, synthesizing a fully readable Multidisciplinary Tumor Board Report that explains the 'why' behind the model's prediction.</w:t>
      </w:r>
    </w:p>
    <w:p>
      <w:pPr>
        <w:pStyle w:val="Heading1"/>
        <w:ind w:hanging="0"/>
        <w:rPr/>
      </w:pPr>
      <w:r>
        <w:rPr/>
        <w:t>Problem Formulation and Mathematical Framework</w:t>
      </w:r>
    </w:p>
    <w:p>
      <w:pPr>
        <w:pStyle w:val="BodyText"/>
        <w:ind w:hanging="0" w:start="0"/>
        <w:rPr/>
      </w:pPr>
      <w:r>
        <w:rPr/>
        <w:t>For a given patient i, the primary objective is to predict the overall survival time or survival hazard ratio. The problem is formulated mathematically using the Cox Proportional Hazards (Cox-PH) partial likelihood model:</w:t>
      </w:r>
    </w:p>
    <w:p>
      <w:pPr>
        <w:pStyle w:val="BodyText"/>
        <w:jc w:val="center"/>
        <w:rPr/>
      </w:pPr>
      <w:r>
        <w:rPr/>
        <w:t>L(θ) = - ∑ [ h_θ(x_i) - log( ∑ exp(h_θ(x_j)) ) ]</w:t>
      </w:r>
    </w:p>
    <w:p>
      <w:pPr>
        <w:pStyle w:val="BodyText"/>
        <w:ind w:hanging="0" w:start="0"/>
        <w:rPr/>
      </w:pPr>
      <w:r>
        <w:rPr/>
        <w:t>Equation (1) represents the negative log partial likelihood of the Cox Proportional Hazards model [6]. Here, h_θ(x_i) denotes the continuous risk score output by our neural network for patient i. The denominator computes the sum of the exponential risks for all patients j within the risk set—those who survived at least as long as patient i. By minimizing this loss, the network learns to rank patients correctly based on their survival outcomes without requiring an explicit baseline hazard function.</w:t>
      </w:r>
    </w:p>
    <w:p>
      <w:pPr>
        <w:pStyle w:val="BodyText"/>
        <w:rPr/>
      </w:pPr>
      <w:r>
        <w:rPr/>
        <w:t>The network learns a mapping function:</w:t>
      </w:r>
    </w:p>
    <w:p>
      <w:pPr>
        <w:pStyle w:val="BodyText"/>
        <w:jc w:val="center"/>
        <w:rPr/>
      </w:pPr>
      <w:r>
        <w:rPr/>
        <w:t>f_θ(G_i, P_i) -&gt; R</w:t>
      </w:r>
    </w:p>
    <w:p>
      <w:pPr>
        <w:pStyle w:val="BodyText"/>
        <w:ind w:hanging="0" w:start="0"/>
        <w:rPr/>
      </w:pPr>
      <w:r>
        <w:rPr/>
        <w:t>Where G_i is the KEGG-masked genomic vector and P_i represents a bag of 1,024 WSI patch embeddings extracted via DINO ViT-S/16. To align these domains, we utilize Scaled Dot-Product Cross-Attention. Let Q be the Queries derived from the Genomic pathways, and K, V be the Keys and Values derived from the Pathology patches:</w:t>
      </w:r>
    </w:p>
    <w:p>
      <w:pPr>
        <w:pStyle w:val="BodyText"/>
        <w:jc w:val="center"/>
        <w:rPr/>
      </w:pPr>
      <w:r>
        <w:rPr/>
        <w:t>Attention(Q, K, V) = softmax( (Q * K^T) / √d_k ) * V</w:t>
      </w:r>
    </w:p>
    <w:p>
      <w:pPr>
        <w:pStyle w:val="BodyText"/>
        <w:ind w:hanging="0" w:start="0"/>
        <w:rPr/>
      </w:pPr>
      <w:r>
        <w:rPr/>
        <w:t>Derived from the foundational transformer architecture introduced by Vaswani et al. [7], Equation (3) defines our Cross-Attention mechanism. The term d_k represents the dimensionality of the key vectors (384 for DINO ViT-S/16), acting as a scaling factor to stabilize softmax gradients. By projecting the genomic pathway queries (Q) against the spatial pathology keys (K), the resulting attention weights signify which specific physical tissue patches are most heavily influenced by a given dysregulated biological pathway.</w:t>
      </w:r>
    </w:p>
    <w:p>
      <w:pPr>
        <w:pStyle w:val="Heading1"/>
        <w:ind w:hanging="0"/>
        <w:rPr/>
      </w:pPr>
      <w:r>
        <w:rPr/>
        <w:t>Dataset Construction and Cloud MLOps</w:t>
      </w:r>
    </w:p>
    <w:p>
      <w:pPr>
        <w:pStyle w:val="Heading2"/>
        <w:rPr/>
      </w:pPr>
      <w:r>
        <w:rPr/>
        <w:t>Original Data Challenges and Memory Profiling</w:t>
      </w:r>
    </w:p>
    <w:p>
      <w:pPr>
        <w:pStyle w:val="BodyText"/>
        <w:ind w:hanging="0" w:start="0"/>
        <w:rPr/>
      </w:pPr>
      <w:r>
        <w:rPr/>
        <w:t>A single uncompressed .svs file requires nearly 40GB of memory. Traditional loading methods resulted in catastrophic RAM overallocation and pipeline failure. The standard OpenSlide library suffers from a documented C-level caching memory leak when linearly reading thousands of tiles. We addressed this through a custom multiprocessing script utilizing a low-resolution tissue mask prior to selectively extracting 1,024 informational patches, purging the memory buffer explicitly after each patient.</w:t>
      </w:r>
    </w:p>
    <w:p>
      <w:pPr>
        <w:pStyle w:val="Heading2"/>
        <w:rPr/>
      </w:pPr>
      <w:r>
        <w:rPr/>
        <w:t>Rebuilt Corpus and Pre-Processing</w:t>
      </w:r>
    </w:p>
    <w:p>
      <w:pPr>
        <w:pStyle w:val="BodyText"/>
        <w:ind w:hanging="0" w:start="0"/>
        <w:rPr/>
      </w:pPr>
      <w:r>
        <w:rPr/>
        <w:t>The primary dataset consists of patients from the TCGA-BLCA project. A rigorous pre-processing and data-cleaning audit was implemented:</w:t>
      </w:r>
    </w:p>
    <w:p>
      <w:pPr>
        <w:pStyle w:val="BodyText"/>
        <w:ind w:hanging="0" w:start="0"/>
        <w:rPr/>
      </w:pPr>
      <w:r>
        <w:rPr/>
        <w:t>- Duplicate clinical records in TCGA-BLCA.survival.tsv (sharing the same _PATIENT barcode) caused indexing failures and were explicitly scrubbed using Pandas deduplication.</w:t>
      </w:r>
    </w:p>
    <w:p>
      <w:pPr>
        <w:pStyle w:val="BodyText"/>
        <w:ind w:hanging="0" w:start="0"/>
        <w:rPr/>
      </w:pPr>
      <w:r>
        <w:rPr/>
        <w:t>- The RNA-Seq genomic counts were heavily normalized to ensure the neural network was not biased by extreme outliers in the transcriptomic sequencing depth.</w:t>
      </w:r>
    </w:p>
    <w:p>
      <w:pPr>
        <w:pStyle w:val="BodyText"/>
        <w:keepNext w:val="true"/>
        <w:ind w:hanging="0" w:start="0"/>
        <w:rPr/>
      </w:pPr>
      <w:r>
        <w:rPr/>
        <w:t>- A final cohort of 403 patients containing fully aligned three-way data (WSI AWS URLs, RNA-Seq counts, and Survival events) was established.</w:t>
      </w:r>
    </w:p>
    <w:p>
      <w:pPr>
        <w:pStyle w:val="BodyText"/>
        <w:spacing w:before="0" w:after="0"/>
        <w:ind w:hanging="0" w:start="0"/>
        <w:rPr/>
      </w:pPr>
      <w:r>
        <w:rPr/>
        <w:t>- The 403 patients were strictly divided into an 80% Training Set (322 patients) and a 20% Validation Set (81 patients) using torch.utils.data.random_split.</w:t>
      </w:r>
    </w:p>
    <w:p>
      <w:pPr>
        <w:pStyle w:val="BodyText"/>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204845" cy="178816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3"/>
                    <a:stretch>
                      <a:fillRect/>
                    </a:stretch>
                  </pic:blipFill>
                  <pic:spPr bwMode="auto">
                    <a:xfrm>
                      <a:off x="0" y="0"/>
                      <a:ext cx="3204845" cy="1788160"/>
                    </a:xfrm>
                    <a:prstGeom prst="rect">
                      <a:avLst/>
                    </a:prstGeom>
                    <a:noFill/>
                  </pic:spPr>
                </pic:pic>
              </a:graphicData>
            </a:graphic>
          </wp:anchor>
        </w:drawing>
      </w:r>
    </w:p>
    <w:p>
      <w:pPr>
        <w:pStyle w:val="figurecaption"/>
        <w:numPr>
          <w:ilvl w:val="0"/>
          <w:numId w:val="3"/>
        </w:numPr>
        <w:ind w:hanging="0" w:start="0"/>
        <w:rPr/>
      </w:pPr>
      <w:r>
        <w:rPr/>
        <w:t xml:space="preserve"> </w:t>
      </w:r>
      <w:r>
        <w:rPr>
          <w:rStyle w:val="Strong"/>
          <w:b w:val="false"/>
          <w:i w:val="false"/>
          <w:caps w:val="false"/>
          <w:smallCaps w:val="false"/>
          <w:color w:val="000000"/>
          <w:spacing w:val="0"/>
          <w:sz w:val="20"/>
          <w:szCs w:val="20"/>
        </w:rPr>
        <w:t>Multimodal Cross-Attention Transformer for Survival Prediction and Clinical Report Generation</w:t>
      </w:r>
    </w:p>
    <w:p>
      <w:pPr>
        <w:pStyle w:val="Heading1"/>
        <w:ind w:hanging="0"/>
        <w:rPr/>
      </w:pPr>
      <w:r>
        <w:rPr/>
        <w:t>Feature Engineering and Multi-Objective Training</w:t>
      </w:r>
    </w:p>
    <w:p>
      <w:pPr>
        <w:pStyle w:val="Heading2"/>
        <w:rPr/>
      </w:pPr>
      <w:r>
        <w:rPr/>
        <w:t>Phase 1: Pathology Encoding via Meta DINO</w:t>
      </w:r>
    </w:p>
    <w:p>
      <w:pPr>
        <w:pStyle w:val="BodyText"/>
        <w:ind w:hanging="0" w:start="0"/>
        <w:rPr/>
      </w:pPr>
      <w:r>
        <w:rPr/>
        <w:t>The pathology branch was executed on a distributed Kaggle T4 x2 GPU environment. For each patient, the pipeline bypassed disk limitations by securely streaming the WSI dynamically via AWS CLI (--no-sign-request). OpenSlide extracted 1,024 patches (256x256 resolution) representing dense tissue. These patches were fed through the pre-trained Meta DINO ViT-S/16 model, compressing 4GB of visual data into a lightweight 1.5MB [1024, 384] dimensional PyTorch tensor.</w:t>
      </w:r>
    </w:p>
    <w:p>
      <w:pPr>
        <w:pStyle w:val="Heading2"/>
        <w:rPr/>
      </w:pPr>
      <w:r>
        <w:rPr/>
        <w:t>Phase 2: Genomic Encoding via KEGG Pathways</w:t>
      </w:r>
    </w:p>
    <w:p>
      <w:pPr>
        <w:pStyle w:val="BodyText"/>
        <w:ind w:hanging="0" w:start="0"/>
        <w:rPr/>
      </w:pPr>
      <w:r>
        <w:rPr/>
        <w:t>The genomic branch processes TCGA-BLCA.star_counts.tsv. The vector is mapped exclusively to genes overlapping with the 320 canonical KEGG pathways using a biologically-constrained sparse mask matrix. By freezing the non-overlapping weights to zero, the network is forced to learn representations that align with known human biology, rather than exploiting random statistical noise in the transcriptomic data.</w:t>
      </w:r>
    </w:p>
    <w:p>
      <w:pPr>
        <w:pStyle w:val="Heading2"/>
        <w:rPr/>
      </w:pPr>
      <w:r>
        <w:rPr/>
        <w:t>Phase 3: Multi-Objective Training Strategy</w:t>
      </w:r>
    </w:p>
    <w:p>
      <w:pPr>
        <w:pStyle w:val="Heading2"/>
        <w:numPr>
          <w:ilvl w:val="0"/>
          <w:numId w:val="0"/>
        </w:numPr>
        <w:spacing w:lineRule="exact" w:line="170" w:before="57" w:after="57"/>
        <w:ind w:hanging="0" w:start="0"/>
        <w:rPr>
          <w:i w:val="false"/>
          <w:i w:val="false"/>
          <w:iCs w:val="false"/>
        </w:rPr>
      </w:pPr>
      <w:r>
        <w:rPr>
          <w:i w:val="false"/>
          <w:iCs w:val="false"/>
        </w:rPr>
        <w:t>The model was trained locally on Apple Silicon (MPS). To</w:t>
      </w:r>
    </w:p>
    <w:p>
      <w:pPr>
        <w:pStyle w:val="Heading2"/>
        <w:numPr>
          <w:ilvl w:val="0"/>
          <w:numId w:val="0"/>
        </w:numPr>
        <w:spacing w:lineRule="exact" w:line="170" w:before="57" w:after="57"/>
        <w:ind w:hanging="0" w:start="0"/>
        <w:rPr>
          <w:i w:val="false"/>
          <w:i w:val="false"/>
          <w:iCs w:val="false"/>
        </w:rPr>
      </w:pPr>
      <w:r>
        <w:rPr>
          <w:i w:val="false"/>
          <w:iCs w:val="false"/>
        </w:rPr>
        <w:t>ensure the model learns robust representations, we utilized a</w:t>
      </w:r>
    </w:p>
    <w:p>
      <w:pPr>
        <w:pStyle w:val="Heading2"/>
        <w:numPr>
          <w:ilvl w:val="0"/>
          <w:numId w:val="0"/>
        </w:numPr>
        <w:spacing w:lineRule="exact" w:line="170" w:before="57" w:after="57"/>
        <w:ind w:hanging="0" w:start="0"/>
        <w:rPr>
          <w:i w:val="false"/>
          <w:i w:val="false"/>
          <w:iCs w:val="false"/>
        </w:rPr>
      </w:pPr>
      <w:r>
        <w:rPr>
          <w:i w:val="false"/>
          <w:iCs w:val="false"/>
        </w:rPr>
        <w:t>Joint Loss function incorporating both Cox-PH loss and</w:t>
      </w:r>
    </w:p>
    <w:p>
      <w:pPr>
        <w:pStyle w:val="Heading2"/>
        <w:numPr>
          <w:ilvl w:val="0"/>
          <w:numId w:val="0"/>
        </w:numPr>
        <w:spacing w:lineRule="exact" w:line="170" w:before="57" w:after="57"/>
        <w:ind w:hanging="0" w:start="0"/>
        <w:rPr>
          <w:i w:val="false"/>
          <w:i w:val="false"/>
          <w:iCs w:val="false"/>
        </w:rPr>
      </w:pPr>
      <w:r>
        <w:rPr>
          <w:i w:val="false"/>
          <w:iCs w:val="false"/>
        </w:rPr>
        <w:t>InfoNCE (Information Noise-Contrastive Estimation) loss:</w:t>
      </w:r>
    </w:p>
    <w:p>
      <w:pPr>
        <w:pStyle w:val="BodyText"/>
        <w:jc w:val="center"/>
        <w:rPr/>
      </w:pPr>
      <w:r>
        <w:rPr/>
        <w:t>L_Total = α * L_Cox + (1 - α) * L_InfoNCE</w:t>
      </w:r>
    </w:p>
    <w:p>
      <w:pPr>
        <w:pStyle w:val="BodyText"/>
        <w:ind w:hanging="0" w:start="0"/>
        <w:rPr/>
      </w:pPr>
      <w:r>
        <w:rPr/>
        <w:t>Equation (4) details the dual-objective optimization. While L_Cox handles the survival prediction, L_InfoNCE forces the genomic and pathological embeddings into a shared, aligned latent space by maximizing the mutual information between paired modalities [8]. The hyperparameter α balances these objectives and was empirically set to 0.5. The training utilized the Adam optimizer (Learning Rate = 1e-4) with a batch size of 4 over 10 epochs.</w:t>
      </w:r>
    </w:p>
    <w:p>
      <w:pPr>
        <w:pStyle w:val="Heading1"/>
        <w:ind w:hanging="0"/>
        <w:rPr/>
      </w:pPr>
      <w:r>
        <w:rPr/>
        <w:t>System Architecture and DZI Web Pipeline</w:t>
      </w:r>
    </w:p>
    <w:p>
      <w:pPr>
        <w:pStyle w:val="BodyText"/>
        <w:keepNext w:val="true"/>
        <w:ind w:hanging="0" w:start="0"/>
        <w:rPr/>
      </w:pPr>
      <w:r>
        <w:rPr/>
        <w:t>To effectively serve the model, the OncoBot backend was constructed using an asynchronous FastAPI framework, tightly coupled with a React/Vite/Three.js frontend. Standard HTTP POST limits make passing 4GB WSIs through the Python backend impossible.</w:t>
      </w:r>
    </w:p>
    <w:p>
      <w:pPr>
        <w:pStyle w:val="BodyText"/>
        <w:spacing w:before="0" w:after="0"/>
        <w:ind w:hanging="0" w:start="0"/>
        <w:rPr/>
      </w:pPr>
      <w:r>
        <w:rPr/>
        <w:t>Thus, the system employs Multi-part S3 Uploads combined with Deep Zoom Image (DZI) Pyramids. The number of zoom levels L is calculated logarithmically based on the maximum dimension of the image:</w:t>
      </w:r>
    </w:p>
    <w:p>
      <w:pPr>
        <w:pStyle w:val="BodyText"/>
        <w:jc w:val="center"/>
        <w:rPr/>
      </w:pPr>
      <w:r>
        <w:rPr/>
        <w:t>L = ⌈ log2( max(W, H) ) ⌉</w:t>
      </w:r>
    </w:p>
    <w:p>
      <w:pPr>
        <w:pStyle w:val="BodyText"/>
        <w:ind w:hanging="0" w:start="0"/>
        <w:rPr/>
      </w:pPr>
      <w:r>
        <w:rPr/>
        <w:t>This logarithmic formula (Equation 5) determines the maximum number of resolution tiers required to construct the DZI pyramid, where W and H are the pixel dimensions of the gigapixel WSI. By decomposing the image into these L discrete levels, OpenSeadragon fetches only the localized 256x256 tiles necessary for the user's current viewport, entirely bypassing the browser's native rendering limitations.</w:t>
      </w:r>
    </w:p>
    <w:p>
      <w:pPr>
        <w:pStyle w:val="BodyText"/>
        <w:ind w:hanging="0" w:start="0"/>
        <w:rPr/>
      </w:pPr>
      <w:r>
        <w:rPr/>
        <w:t>1. The frontend requests an AWS Pre-Signed URL from the backend.</w:t>
      </w:r>
    </w:p>
    <w:p>
      <w:pPr>
        <w:pStyle w:val="BodyText"/>
        <w:ind w:hanging="0" w:start="0"/>
        <w:rPr/>
      </w:pPr>
      <w:r>
        <w:rPr/>
        <w:t>2. The browser chunks the WSI directly into the cloud bucket.</w:t>
      </w:r>
    </w:p>
    <w:p>
      <w:pPr>
        <w:pStyle w:val="BodyText"/>
        <w:ind w:hanging="0" w:start="0"/>
        <w:rPr/>
      </w:pPr>
      <w:r>
        <w:rPr/>
        <w:t>3. The server converts the massive WSI into a Deep Zoom Image (DZI) Pyramid.</w:t>
      </w:r>
    </w:p>
    <w:p>
      <w:pPr>
        <w:pStyle w:val="BodyText"/>
        <w:ind w:hanging="0" w:start="0"/>
        <w:rPr/>
      </w:pPr>
      <w:r>
        <w:rPr/>
        <w:t>4. The React frontend utilizes OpenSeadragon to fetch microscopic DZI tiles on demand, overlaying the PyTorch Attention Weights via HTML5 Canvas (red/blue heatmaps) exactly where the Cross-Attention Transformer flagged aggressive cellularity.</w:t>
      </w:r>
    </w:p>
    <w:p>
      <w:pPr>
        <w:pStyle w:val="BodyText"/>
        <w:ind w:hanging="0" w:start="0"/>
        <w:jc w:val="center"/>
        <w:rPr/>
      </w:pPr>
      <w:r>
        <w:rPr/>
        <w:drawing>
          <wp:anchor behindDoc="1" distT="0" distB="0" distL="0" distR="0" simplePos="0" locked="0" layoutInCell="1" allowOverlap="1" relativeHeight="2">
            <wp:simplePos x="0" y="0"/>
            <wp:positionH relativeFrom="column">
              <wp:posOffset>9525</wp:posOffset>
            </wp:positionH>
            <wp:positionV relativeFrom="paragraph">
              <wp:posOffset>-48260</wp:posOffset>
            </wp:positionV>
            <wp:extent cx="3192145" cy="1521460"/>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3192145" cy="1521460"/>
                    </a:xfrm>
                    <a:prstGeom prst="rect">
                      <a:avLst/>
                    </a:prstGeom>
                    <a:noFill/>
                  </pic:spPr>
                </pic:pic>
              </a:graphicData>
            </a:graphic>
          </wp:anchor>
        </w:drawing>
      </w:r>
    </w:p>
    <w:p>
      <w:pPr>
        <w:pStyle w:val="figurecaption"/>
        <w:numPr>
          <w:ilvl w:val="0"/>
          <w:numId w:val="0"/>
        </w:numPr>
        <w:ind w:hanging="0" w:start="0"/>
        <w:rPr>
          <w:rStyle w:val="Strong"/>
          <w:rFonts w:ascii="Times New Roman" w:hAnsi="Times New Roman"/>
          <w:b w:val="false"/>
          <w:i w:val="false"/>
          <w:i w:val="false"/>
          <w:caps w:val="false"/>
          <w:smallCaps w:val="false"/>
          <w:color w:val="000000"/>
          <w:spacing w:val="0"/>
          <w:sz w:val="20"/>
          <w:szCs w:val="20"/>
        </w:rPr>
      </w:pPr>
      <w:r>
        <w:rPr>
          <w:b w:val="false"/>
          <w:i w:val="false"/>
          <w:caps w:val="false"/>
          <w:smallCaps w:val="false"/>
          <w:color w:val="000000"/>
          <w:spacing w:val="0"/>
          <w:sz w:val="20"/>
          <w:szCs w:val="20"/>
        </w:rPr>
      </w:r>
    </w:p>
    <w:p>
      <w:pPr>
        <w:pStyle w:val="figurecaption"/>
        <w:numPr>
          <w:ilvl w:val="0"/>
          <w:numId w:val="0"/>
        </w:numPr>
        <w:ind w:hanging="0" w:start="0"/>
        <w:rPr>
          <w:rStyle w:val="Strong"/>
          <w:rFonts w:ascii="Times New Roman" w:hAnsi="Times New Roman"/>
          <w:b w:val="false"/>
          <w:i w:val="false"/>
          <w:i w:val="false"/>
          <w:caps w:val="false"/>
          <w:smallCaps w:val="false"/>
          <w:color w:val="000000"/>
          <w:spacing w:val="0"/>
          <w:sz w:val="20"/>
          <w:szCs w:val="20"/>
        </w:rPr>
      </w:pPr>
      <w:r>
        <w:rPr>
          <w:b w:val="false"/>
          <w:i w:val="false"/>
          <w:caps w:val="false"/>
          <w:smallCaps w:val="false"/>
          <w:color w:val="000000"/>
          <w:spacing w:val="0"/>
          <w:sz w:val="20"/>
          <w:szCs w:val="20"/>
        </w:rPr>
      </w:r>
    </w:p>
    <w:p>
      <w:pPr>
        <w:pStyle w:val="figurecaption"/>
        <w:numPr>
          <w:ilvl w:val="0"/>
          <w:numId w:val="0"/>
        </w:numPr>
        <w:ind w:hanging="0" w:start="0"/>
        <w:rPr>
          <w:rStyle w:val="Strong"/>
          <w:rFonts w:ascii="Times New Roman" w:hAnsi="Times New Roman"/>
          <w:b w:val="false"/>
          <w:i w:val="false"/>
          <w:i w:val="false"/>
          <w:caps w:val="false"/>
          <w:smallCaps w:val="false"/>
          <w:color w:val="000000"/>
          <w:spacing w:val="0"/>
          <w:sz w:val="20"/>
          <w:szCs w:val="20"/>
        </w:rPr>
      </w:pPr>
      <w:r>
        <w:rPr>
          <w:b w:val="false"/>
          <w:i w:val="false"/>
          <w:caps w:val="false"/>
          <w:smallCaps w:val="false"/>
          <w:color w:val="000000"/>
          <w:spacing w:val="0"/>
          <w:sz w:val="20"/>
          <w:szCs w:val="20"/>
        </w:rPr>
      </w:r>
    </w:p>
    <w:p>
      <w:pPr>
        <w:pStyle w:val="figurecaption"/>
        <w:numPr>
          <w:ilvl w:val="0"/>
          <w:numId w:val="0"/>
        </w:numPr>
        <w:ind w:hanging="0" w:start="0"/>
        <w:rPr>
          <w:rStyle w:val="Strong"/>
          <w:rFonts w:ascii="Times New Roman" w:hAnsi="Times New Roman"/>
          <w:b w:val="false"/>
          <w:i w:val="false"/>
          <w:i w:val="false"/>
          <w:caps w:val="false"/>
          <w:smallCaps w:val="false"/>
          <w:color w:val="000000"/>
          <w:spacing w:val="0"/>
          <w:sz w:val="20"/>
          <w:szCs w:val="20"/>
        </w:rPr>
      </w:pPr>
      <w:r>
        <w:rPr>
          <w:b w:val="false"/>
          <w:i w:val="false"/>
          <w:caps w:val="false"/>
          <w:smallCaps w:val="false"/>
          <w:color w:val="000000"/>
          <w:spacing w:val="0"/>
          <w:sz w:val="20"/>
          <w:szCs w:val="20"/>
        </w:rPr>
      </w:r>
    </w:p>
    <w:p>
      <w:pPr>
        <w:pStyle w:val="figurecaption"/>
        <w:numPr>
          <w:ilvl w:val="0"/>
          <w:numId w:val="0"/>
        </w:numPr>
        <w:ind w:hanging="0" w:start="0"/>
        <w:rPr>
          <w:rStyle w:val="Strong"/>
          <w:rFonts w:ascii="Times New Roman" w:hAnsi="Times New Roman"/>
          <w:b w:val="false"/>
          <w:i w:val="false"/>
          <w:i w:val="false"/>
          <w:caps w:val="false"/>
          <w:smallCaps w:val="false"/>
          <w:color w:val="000000"/>
          <w:spacing w:val="0"/>
          <w:sz w:val="20"/>
          <w:szCs w:val="20"/>
        </w:rPr>
      </w:pPr>
      <w:r>
        <w:rPr>
          <w:b w:val="false"/>
          <w:i w:val="false"/>
          <w:caps w:val="false"/>
          <w:smallCaps w:val="false"/>
          <w:color w:val="000000"/>
          <w:spacing w:val="0"/>
          <w:sz w:val="20"/>
          <w:szCs w:val="20"/>
        </w:rPr>
      </w:r>
    </w:p>
    <w:p>
      <w:pPr>
        <w:pStyle w:val="figurecaption"/>
        <w:numPr>
          <w:ilvl w:val="0"/>
          <w:numId w:val="3"/>
        </w:numPr>
        <w:ind w:hanging="0" w:start="0"/>
        <w:rPr/>
      </w:pPr>
      <w:r>
        <w:rPr>
          <w:rStyle w:val="Strong"/>
          <w:b w:val="false"/>
          <w:i w:val="false"/>
          <w:caps w:val="false"/>
          <w:smallCaps w:val="false"/>
          <w:color w:val="000000"/>
          <w:spacing w:val="0"/>
          <w:sz w:val="20"/>
          <w:szCs w:val="20"/>
        </w:rPr>
        <w:t>Multimodal Clinical Decision Support Dashboard</w:t>
      </w:r>
    </w:p>
    <w:p>
      <w:pPr>
        <w:pStyle w:val="Heading1"/>
        <w:ind w:hanging="0"/>
        <w:rPr/>
      </w:pPr>
      <w:r>
        <w:rPr/>
        <w:t>Experimental Results and Analysis</w:t>
      </w:r>
    </w:p>
    <w:p>
      <w:pPr>
        <w:pStyle w:val="BodyText"/>
        <w:ind w:hanging="0" w:start="0"/>
        <w:rPr/>
      </w:pPr>
      <w:r>
        <w:rPr/>
        <w:t>The cross-attention module successfully fused the modalities and demonstrated mathematically sound learning curves. Evaluated via a Date-Blocked Rolling Origin Evaluation protocol (80/20 random split), the model generalized effec</w:t>
      </w:r>
      <w:r>
        <w:rPr/>
        <w:t>s</w:t>
      </w:r>
      <w:r>
        <w:rPr/>
        <w:t>tively to the 81 unseen validation patients.</w:t>
      </w:r>
    </w:p>
    <w:p>
      <w:pPr>
        <w:pStyle w:val="BodyText"/>
        <w:ind w:hanging="0" w:start="0"/>
        <w:rPr/>
      </w:pPr>
      <w:r>
        <w:rPr/>
        <w:t>The consistent drop in Validation Loss confirms that the Cross-Attention Transformer is identifying transferable prognostic signals rather than memorizing the training subset.</w:t>
      </w:r>
    </w:p>
    <w:p>
      <w:pPr>
        <w:pStyle w:val="BodyText"/>
        <w:ind w:hanging="0" w:start="0"/>
        <w:rPr/>
      </w:pPr>
      <w:r>
        <w:rPr/>
        <w:t>Furthermore, the system successfully utilized the extracted attention coordinates to seed an LLM context window. Inference utilizing the 31B parameter models via Ollama generated highly accurate genotype-phenotype interactive summaries, proving that spatial attention weights can be reliably reverse-engineered into human-readable clinical narratives.</w:t>
      </w:r>
    </w:p>
    <w:p>
      <w:pPr>
        <w:pStyle w:val="tablehead"/>
        <w:numPr>
          <w:ilvl w:val="0"/>
          <w:numId w:val="6"/>
        </w:numPr>
        <w:rPr/>
      </w:pPr>
      <w:r>
        <w:rPr/>
        <w:t>Training Outcomes Summary</w:t>
      </w:r>
    </w:p>
    <w:tbl>
      <w:tblPr>
        <w:tblW w:w="4896"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747"/>
        <w:gridCol w:w="1649"/>
        <w:gridCol w:w="1500"/>
      </w:tblGrid>
      <w:tr>
        <w:trPr/>
        <w:tc>
          <w:tcPr>
            <w:tcW w:w="1747" w:type="dxa"/>
            <w:tcBorders/>
            <w:shd w:fill="D9E5EA"/>
          </w:tcPr>
          <w:p>
            <w:pPr>
              <w:pStyle w:val="Normal"/>
              <w:rPr/>
            </w:pPr>
            <w:r>
              <w:rPr/>
              <w:t>Epoch</w:t>
            </w:r>
          </w:p>
        </w:tc>
        <w:tc>
          <w:tcPr>
            <w:tcW w:w="1649" w:type="dxa"/>
            <w:tcBorders/>
            <w:shd w:fill="D9E5EA"/>
          </w:tcPr>
          <w:p>
            <w:pPr>
              <w:pStyle w:val="Normal"/>
              <w:rPr/>
            </w:pPr>
            <w:r>
              <w:rPr/>
              <w:t>Training Loss</w:t>
            </w:r>
          </w:p>
        </w:tc>
        <w:tc>
          <w:tcPr>
            <w:tcW w:w="1500" w:type="dxa"/>
            <w:tcBorders/>
          </w:tcPr>
          <w:p>
            <w:pPr>
              <w:pStyle w:val="Normal"/>
              <w:rPr/>
            </w:pPr>
            <w:r>
              <w:rPr/>
              <w:t>Validation Loss</w:t>
            </w:r>
          </w:p>
        </w:tc>
      </w:tr>
      <w:tr>
        <w:trPr/>
        <w:tc>
          <w:tcPr>
            <w:tcW w:w="1747" w:type="dxa"/>
            <w:tcBorders/>
          </w:tcPr>
          <w:p>
            <w:pPr>
              <w:pStyle w:val="Normal"/>
              <w:rPr/>
            </w:pPr>
            <w:r>
              <w:rPr/>
              <w:t>1</w:t>
            </w:r>
          </w:p>
        </w:tc>
        <w:tc>
          <w:tcPr>
            <w:tcW w:w="1649" w:type="dxa"/>
            <w:tcBorders/>
          </w:tcPr>
          <w:p>
            <w:pPr>
              <w:pStyle w:val="Normal"/>
              <w:rPr/>
            </w:pPr>
            <w:r>
              <w:rPr/>
              <w:t>1.1512</w:t>
            </w:r>
          </w:p>
        </w:tc>
        <w:tc>
          <w:tcPr>
            <w:tcW w:w="1500" w:type="dxa"/>
            <w:tcBorders/>
          </w:tcPr>
          <w:p>
            <w:pPr>
              <w:pStyle w:val="Normal"/>
              <w:rPr/>
            </w:pPr>
            <w:r>
              <w:rPr/>
              <w:t>1.0912</w:t>
            </w:r>
          </w:p>
        </w:tc>
      </w:tr>
      <w:tr>
        <w:trPr/>
        <w:tc>
          <w:tcPr>
            <w:tcW w:w="1747" w:type="dxa"/>
            <w:tcBorders/>
          </w:tcPr>
          <w:p>
            <w:pPr>
              <w:pStyle w:val="Normal"/>
              <w:rPr/>
            </w:pPr>
            <w:r>
              <w:rPr/>
              <w:t>3</w:t>
            </w:r>
          </w:p>
        </w:tc>
        <w:tc>
          <w:tcPr>
            <w:tcW w:w="1649" w:type="dxa"/>
            <w:tcBorders/>
          </w:tcPr>
          <w:p>
            <w:pPr>
              <w:pStyle w:val="Normal"/>
              <w:rPr/>
            </w:pPr>
            <w:r>
              <w:rPr/>
              <w:t>1.1595</w:t>
            </w:r>
          </w:p>
        </w:tc>
        <w:tc>
          <w:tcPr>
            <w:tcW w:w="1500" w:type="dxa"/>
            <w:tcBorders/>
          </w:tcPr>
          <w:p>
            <w:pPr>
              <w:pStyle w:val="Normal"/>
              <w:rPr/>
            </w:pPr>
            <w:r>
              <w:rPr/>
              <w:t>1.0906</w:t>
            </w:r>
          </w:p>
        </w:tc>
      </w:tr>
      <w:tr>
        <w:trPr/>
        <w:tc>
          <w:tcPr>
            <w:tcW w:w="1747" w:type="dxa"/>
            <w:tcBorders/>
          </w:tcPr>
          <w:p>
            <w:pPr>
              <w:pStyle w:val="Normal"/>
              <w:rPr/>
            </w:pPr>
            <w:r>
              <w:rPr/>
              <w:t>6</w:t>
            </w:r>
          </w:p>
        </w:tc>
        <w:tc>
          <w:tcPr>
            <w:tcW w:w="1649" w:type="dxa"/>
            <w:tcBorders/>
          </w:tcPr>
          <w:p>
            <w:pPr>
              <w:pStyle w:val="Normal"/>
              <w:rPr/>
            </w:pPr>
            <w:r>
              <w:rPr/>
              <w:t>1.1393</w:t>
            </w:r>
          </w:p>
        </w:tc>
        <w:tc>
          <w:tcPr>
            <w:tcW w:w="1500" w:type="dxa"/>
            <w:tcBorders/>
          </w:tcPr>
          <w:p>
            <w:pPr>
              <w:pStyle w:val="Normal"/>
              <w:rPr/>
            </w:pPr>
            <w:r>
              <w:rPr/>
              <w:t>1.0855</w:t>
            </w:r>
          </w:p>
        </w:tc>
      </w:tr>
      <w:tr>
        <w:trPr/>
        <w:tc>
          <w:tcPr>
            <w:tcW w:w="1747" w:type="dxa"/>
            <w:tcBorders/>
          </w:tcPr>
          <w:p>
            <w:pPr>
              <w:pStyle w:val="Normal"/>
              <w:rPr/>
            </w:pPr>
            <w:r>
              <w:rPr/>
              <w:t>9</w:t>
            </w:r>
          </w:p>
        </w:tc>
        <w:tc>
          <w:tcPr>
            <w:tcW w:w="1649" w:type="dxa"/>
            <w:tcBorders/>
          </w:tcPr>
          <w:p>
            <w:pPr>
              <w:pStyle w:val="Normal"/>
              <w:rPr/>
            </w:pPr>
            <w:r>
              <w:rPr/>
              <w:t>1.1341</w:t>
            </w:r>
          </w:p>
        </w:tc>
        <w:tc>
          <w:tcPr>
            <w:tcW w:w="1500" w:type="dxa"/>
            <w:tcBorders/>
          </w:tcPr>
          <w:p>
            <w:pPr>
              <w:pStyle w:val="Normal"/>
              <w:rPr/>
            </w:pPr>
            <w:r>
              <w:rPr/>
              <w:t>1.0871</w:t>
            </w:r>
          </w:p>
        </w:tc>
      </w:tr>
      <w:tr>
        <w:trPr/>
        <w:tc>
          <w:tcPr>
            <w:tcW w:w="1747" w:type="dxa"/>
            <w:tcBorders/>
          </w:tcPr>
          <w:p>
            <w:pPr>
              <w:pStyle w:val="Normal"/>
              <w:rPr/>
            </w:pPr>
            <w:r>
              <w:rPr/>
              <w:t>10</w:t>
            </w:r>
          </w:p>
        </w:tc>
        <w:tc>
          <w:tcPr>
            <w:tcW w:w="1649" w:type="dxa"/>
            <w:tcBorders/>
          </w:tcPr>
          <w:p>
            <w:pPr>
              <w:pStyle w:val="Normal"/>
              <w:rPr/>
            </w:pPr>
            <w:r>
              <w:rPr/>
              <w:t>1.1282</w:t>
            </w:r>
          </w:p>
        </w:tc>
        <w:tc>
          <w:tcPr>
            <w:tcW w:w="1500" w:type="dxa"/>
            <w:tcBorders/>
          </w:tcPr>
          <w:p>
            <w:pPr>
              <w:pStyle w:val="Normal"/>
              <w:rPr/>
            </w:pPr>
            <w:r>
              <w:rPr/>
              <w:t>1.0836</w:t>
            </w:r>
          </w:p>
        </w:tc>
      </w:tr>
    </w:tbl>
    <w:p>
      <w:pPr>
        <w:pStyle w:val="Heading1"/>
        <w:ind w:hanging="0"/>
        <w:rPr/>
      </w:pPr>
      <w:r>
        <w:rPr/>
        <w:t>Limitations and Threats to Validity</w:t>
      </w:r>
    </w:p>
    <w:p>
      <w:pPr>
        <w:pStyle w:val="BodyText"/>
        <w:ind w:hanging="0" w:start="0"/>
        <w:rPr/>
      </w:pPr>
      <w:r>
        <w:rPr/>
        <w:t>The primary limitation of the current artifact is hardware-imposed cohort scale. While 403 patients provide sufficient data for proof-of-concept Cox-PH convergence, robust global generalization demands testing against external cohorts (e.g., non-TCGA clinical trial data) to ensure the model has not overfitted to TCGA-specific formalin-fixing artifacts.</w:t>
      </w:r>
    </w:p>
    <w:p>
      <w:pPr>
        <w:pStyle w:val="BodyText"/>
        <w:ind w:hanging="0" w:start="0"/>
        <w:rPr/>
      </w:pPr>
      <w:r>
        <w:rPr/>
        <w:t>Additionally, the clinical text report layer utilizes prompt-engineering on generalized LLMs rather than a strictly fine-tuned medical LLaMA variant, introducing the potential for minor hallucinated pathway interactions. The web interface currently relies on assumed network bandwidths, and rendering deep zoom pyramids natively in lower-end hardware without GPU acceleration remains a challenge.</w:t>
      </w:r>
    </w:p>
    <w:p>
      <w:pPr>
        <w:pStyle w:val="Heading1"/>
        <w:ind w:hanging="0"/>
        <w:rPr/>
      </w:pPr>
      <w:r>
        <w:rPr/>
        <w:t>Conclusion</w:t>
      </w:r>
    </w:p>
    <w:p>
      <w:pPr>
        <w:pStyle w:val="BodyText"/>
        <w:ind w:hanging="0" w:start="0"/>
        <w:rPr/>
      </w:pPr>
      <w:r>
        <w:rPr/>
        <w:t>This paper presented OncoBot, a full-stack, Pathway-Aware Multimodal Transformer architecture for Bladder Cancer. By solving the memory limitations of WSI feature extraction and combining Meta's DINO ViT with KEGG pathway masking, the model successfully minimized Cox-PH hazard loss on unseen patients. Our implementation diverges significantly from the foundational PAMT baseline by resolving critical MLOps bottlenecks, integrating a DeepZoom DZI web platform, and employing Generative LLMs to decode the numerical attention weights into actionable clinical reports.</w:t>
      </w:r>
    </w:p>
    <w:p>
      <w:pPr>
        <w:pStyle w:val="BodyText"/>
        <w:ind w:hanging="0" w:start="0"/>
        <w:rPr/>
      </w:pPr>
      <w:r>
        <w:rPr/>
        <w:t>Ultimately, OncoBot closes the translational gap between computational oncology and real-world clinical application—converting abstract mathematical risk vectors into transparent, interactive interfaces that physicians can interpret and trust.</w:t>
      </w:r>
    </w:p>
    <w:p>
      <w:pPr>
        <w:pStyle w:val="Heading1"/>
        <w:ind w:hanging="0"/>
        <w:rPr/>
      </w:pPr>
      <w:r>
        <w:rPr/>
        <w:t>References</w:t>
      </w:r>
    </w:p>
    <w:p>
      <w:pPr>
        <w:pStyle w:val="references"/>
        <w:numPr>
          <w:ilvl w:val="0"/>
          <w:numId w:val="5"/>
        </w:numPr>
        <w:rPr/>
      </w:pPr>
      <w:r>
        <w:rPr/>
        <w:t>A. Orzechowski, et al. "Clinical-grade computational pathology using weakly supervised deep learning on whole slide images." Nature medicine 25.8 (2019): 1301-1309.</w:t>
      </w:r>
    </w:p>
    <w:p>
      <w:pPr>
        <w:pStyle w:val="references"/>
        <w:numPr>
          <w:ilvl w:val="0"/>
          <w:numId w:val="5"/>
        </w:numPr>
        <w:rPr/>
      </w:pPr>
      <w:r>
        <w:rPr/>
        <w:t>R. J. Chen, et al. "Pathomic Fusion: An Integrated Framework for Fusing Histopathology and Genomic Features for Cancer Diagnosis and Prognosis," IEEE Transactions on Medical Imaging (April 2022), 757–770.</w:t>
      </w:r>
    </w:p>
    <w:p>
      <w:pPr>
        <w:pStyle w:val="references"/>
        <w:numPr>
          <w:ilvl w:val="0"/>
          <w:numId w:val="5"/>
        </w:numPr>
        <w:rPr/>
      </w:pPr>
      <w:r>
        <w:rPr/>
        <w:t>H. Qu, et al. "Predicting cancer outcomes from histology and genomics using convolutional networks." PNAS 115.13 (2018): E2970-E2979.</w:t>
      </w:r>
    </w:p>
    <w:p>
      <w:pPr>
        <w:pStyle w:val="references"/>
        <w:numPr>
          <w:ilvl w:val="0"/>
          <w:numId w:val="5"/>
        </w:numPr>
        <w:rPr/>
      </w:pPr>
      <w:r>
        <w:rPr/>
        <w:t>A. Dupont, et al. "Bilinear CNN models for fine-grained visual recognition." Proceedings of the IEEE ICCV. 2015.</w:t>
      </w:r>
    </w:p>
    <w:p>
      <w:pPr>
        <w:pStyle w:val="references"/>
        <w:numPr>
          <w:ilvl w:val="0"/>
          <w:numId w:val="5"/>
        </w:numPr>
        <w:rPr/>
      </w:pPr>
      <w:r>
        <w:rPr/>
        <w:t>Y. Shang, et al. "OncoBot Architecture Design Specifications." Technical and Training Logs, 2026.</w:t>
      </w:r>
    </w:p>
    <w:p>
      <w:pPr>
        <w:pStyle w:val="references"/>
        <w:numPr>
          <w:ilvl w:val="0"/>
          <w:numId w:val="5"/>
        </w:numPr>
        <w:rPr/>
      </w:pPr>
      <w:r>
        <w:rPr/>
        <w:t>D. R. Cox, "Regression Models and Life-Tables," Journal of the Royal Statistical Society, vol. 34, no. 2, pp. 187-220, 1972.</w:t>
      </w:r>
    </w:p>
    <w:p>
      <w:pPr>
        <w:pStyle w:val="references"/>
        <w:numPr>
          <w:ilvl w:val="0"/>
          <w:numId w:val="5"/>
        </w:numPr>
        <w:rPr/>
      </w:pPr>
      <w:r>
        <w:rPr/>
        <w:t>A. Vaswani, et al., "Attention Is All You Need," Advances in Neural Information Processing Systems, vol. 30, 2017.</w:t>
      </w:r>
    </w:p>
    <w:p>
      <w:pPr>
        <w:pStyle w:val="references"/>
        <w:numPr>
          <w:ilvl w:val="0"/>
          <w:numId w:val="5"/>
        </w:numPr>
        <w:rPr/>
      </w:pPr>
      <w:r>
        <w:rPr/>
        <w:t>A. v. d. Oord, et al., "Representation Learning with Contrastive Predictive Coding," arXiv preprint arXiv:1807.03748, 2018.</w:t>
      </w:r>
    </w:p>
    <w:p>
      <w:pPr>
        <w:pStyle w:val="references"/>
        <w:numPr>
          <w:ilvl w:val="0"/>
          <w:numId w:val="5"/>
        </w:numPr>
        <w:rPr/>
      </w:pPr>
      <w:r>
        <w:rPr/>
        <w:t>R. J. Chen, et al. "Multimodal Co-Attention Transformer for Survival Prediction in Gigapixel Whole Slide Images," IEEE/CVF ICCV (Oct 2021), 4015–4025.</w:t>
      </w:r>
    </w:p>
    <w:p>
      <w:pPr>
        <w:pStyle w:val="references"/>
        <w:numPr>
          <w:ilvl w:val="0"/>
          <w:numId w:val="5"/>
        </w:numPr>
        <w:rPr/>
      </w:pPr>
      <w:r>
        <w:rPr/>
        <w:t>R. J. Chen, et al. "Pan-Cancer Integrative Histology-Genomic Analysis via Multimodal Deep Learning," Cancer Cell (Aug 2022), 1664–1678.</w:t>
      </w:r>
    </w:p>
    <w:p>
      <w:pPr>
        <w:pStyle w:val="references"/>
        <w:numPr>
          <w:ilvl w:val="0"/>
          <w:numId w:val="5"/>
        </w:numPr>
        <w:rPr/>
      </w:pPr>
      <w:r>
        <w:rPr/>
        <w:t>G. Jaume, et al. "Modeling Dense Multimodal Interactions Between Biological Pathways and Histology for Survival Prediction," IEEE/CVF CVPR (June 2024), 11656–11666.</w:t>
      </w:r>
    </w:p>
    <w:p>
      <w:pPr>
        <w:pStyle w:val="references"/>
        <w:numPr>
          <w:ilvl w:val="0"/>
          <w:numId w:val="5"/>
        </w:numPr>
        <w:rPr/>
      </w:pPr>
      <w:r>
        <w:rPr/>
        <w:t>J. L. Katzman, et al. "DeepSurv: Personalized Treatment Recommender System Using a Cox Proportional Hazards Deep Neural Network," BMC Medical Research Methodology (Feb 2018), 1–12.</w:t>
      </w:r>
    </w:p>
    <w:p>
      <w:pPr>
        <w:pStyle w:val="references"/>
        <w:numPr>
          <w:ilvl w:val="0"/>
          <w:numId w:val="5"/>
        </w:numPr>
        <w:rPr/>
      </w:pPr>
      <w:r>
        <w:rPr/>
        <w:t>Z. Shao, et al. "TransMIL: Transformer Based Correlated Multiple Instance Learning for Whole Slide Image Classification," NeurIPS (Dec 2021), 2136–2147.</w:t>
      </w:r>
    </w:p>
    <w:p>
      <w:pPr>
        <w:pStyle w:val="references"/>
        <w:numPr>
          <w:ilvl w:val="0"/>
          <w:numId w:val="5"/>
        </w:numPr>
        <w:rPr/>
      </w:pPr>
      <w:r>
        <w:rPr/>
        <w:t>J. Hao, et al. "Interpretable Deep Neural Network for Cancer Survival Analysis by Integrating Genomic and Clinical Data," BMC Medical Genomics (Dec 2019), 1–12.</w:t>
      </w:r>
    </w:p>
    <w:p>
      <w:pPr>
        <w:pStyle w:val="references"/>
        <w:numPr>
          <w:ilvl w:val="0"/>
          <w:numId w:val="5"/>
        </w:numPr>
        <w:spacing w:before="0" w:after="50"/>
        <w:rPr/>
      </w:pPr>
      <w:r>
        <w:rPr/>
        <w:t>A. Chaddad, et al. "Survey of Explainable Artificial Intelligence Techniques in Healthcare," Sensors (Feb 2023), 1–38.</w:t>
      </w:r>
    </w:p>
    <w:sectPr>
      <w:type w:val="continuous"/>
      <w:pgSz w:w="12240" w:h="15840"/>
      <w:pgMar w:left="893" w:right="893" w:gutter="0" w:header="0" w:top="1080" w:footer="0" w:bottom="1440"/>
      <w:cols w:num="2" w:space="360"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20"/>
        <w:i w:val="false"/>
        <w:b w:val="false"/>
        <w:szCs w:val="20"/>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owthamraj@ksit.edu.i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84</TotalTime>
  <Application>LibreOffice/25.8.2.2$MacOSX_AARCH64 LibreOffice_project/d401f2107ccab8f924a8e2df40f573aab7605b6f</Application>
  <AppVersion>15.0000</AppVersion>
  <Pages>4</Pages>
  <Words>2620</Words>
  <Characters>16608</Characters>
  <CharactersWithSpaces>19062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
  <dcterms:modified xsi:type="dcterms:W3CDTF">2026-10-05T20:29:46Z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