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4F1C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000000 [3213]" filled="t" stroked="f" coordsize="21600,21600" o:hr="t" o:hrstd="t" o:hrnoshade="t" o:hralign="center">
            <v:path/>
            <v:fill on="t" color2="#FFFFFF" focussize="0,0"/>
            <v:stroke on="f"/>
            <v:imagedata o:title=""/>
            <o:lock v:ext="edit" aspectratio="f"/>
            <w10:wrap type="none"/>
            <w10:anchorlock/>
          </v:rect>
        </w:pict>
      </w:r>
    </w:p>
    <w:p w14:paraId="7DD6521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DOMAIN 5: DATA &amp; ANALYSIS</w:t>
      </w:r>
    </w:p>
    <w:p w14:paraId="51FAF08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000000 [3213]" filled="t" stroked="f" coordsize="21600,21600" o:hr="t" o:hrstd="t" o:hrnoshade="t" o:hralign="center">
            <v:path/>
            <v:fill on="t" color2="#FFFFFF" focussize="0,0"/>
            <v:stroke on="f"/>
            <v:imagedata o:title=""/>
            <o:lock v:ext="edit" aspectratio="f"/>
            <w10:wrap type="none"/>
            <w10:anchorlock/>
          </v:rect>
        </w:pict>
      </w:r>
    </w:p>
    <w:p w14:paraId="710A896D">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2AFA5B79">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5E24204E">
      <w:pPr>
        <w:pStyle w:val="9"/>
        <w:keepNext w:val="0"/>
        <w:keepLines w:val="0"/>
        <w:widowControl/>
        <w:suppressLineNumbers w:val="0"/>
        <w:rPr>
          <w:rStyle w:val="8"/>
          <w:rFonts w:hint="default" w:ascii="Times New Roman" w:hAnsi="Times New Roman" w:eastAsia="var(--font-mono)" w:cs="Times New Roman"/>
          <w:b/>
          <w:bCs/>
          <w:color w:val="14181F"/>
          <w:sz w:val="28"/>
          <w:szCs w:val="28"/>
          <w:lang w:val="en-US"/>
        </w:rPr>
      </w:pPr>
      <w:r>
        <w:rPr>
          <w:rStyle w:val="8"/>
          <w:rFonts w:hint="default" w:ascii="Times New Roman" w:hAnsi="Times New Roman" w:eastAsia="var(--font-mono)" w:cs="Times New Roman"/>
          <w:b/>
          <w:bCs/>
          <w:color w:val="14181F"/>
          <w:sz w:val="28"/>
          <w:szCs w:val="28"/>
        </w:rPr>
        <w:t>USE CASE #17: Sales Data Interpretatio</w:t>
      </w:r>
      <w:r>
        <w:rPr>
          <w:rStyle w:val="8"/>
          <w:rFonts w:hint="default" w:ascii="Times New Roman" w:hAnsi="Times New Roman" w:eastAsia="var(--font-mono)" w:cs="Times New Roman"/>
          <w:b/>
          <w:bCs/>
          <w:color w:val="14181F"/>
          <w:sz w:val="28"/>
          <w:szCs w:val="28"/>
          <w:lang w:val="en-US"/>
        </w:rPr>
        <w:t>n</w:t>
      </w:r>
    </w:p>
    <w:p w14:paraId="60D3D02F">
      <w:pPr>
        <w:pStyle w:val="9"/>
        <w:keepNext w:val="0"/>
        <w:keepLines w:val="0"/>
        <w:widowControl/>
        <w:suppressLineNumbers w:val="0"/>
        <w:rPr>
          <w:rStyle w:val="8"/>
          <w:rFonts w:hint="default" w:ascii="Times New Roman" w:hAnsi="Times New Roman" w:eastAsia="var(--font-mono)" w:cs="Times New Roman"/>
          <w:color w:val="14181F"/>
          <w:sz w:val="28"/>
          <w:szCs w:val="28"/>
          <w:lang w:val="en-US"/>
        </w:rPr>
      </w:pPr>
    </w:p>
    <w:p w14:paraId="4E5D231A">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DOMAIN </w:t>
      </w:r>
      <w:r>
        <w:rPr>
          <w:rStyle w:val="8"/>
          <w:rFonts w:hint="default" w:ascii="Times New Roman" w:hAnsi="Times New Roman" w:eastAsia="var(--font-mono)" w:cs="Times New Roman"/>
          <w:color w:val="14181F"/>
          <w:sz w:val="28"/>
          <w:szCs w:val="28"/>
        </w:rPr>
        <w:t xml:space="preserve">   : Data &amp; Analysis</w:t>
      </w:r>
    </w:p>
    <w:p w14:paraId="71D889C6">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TECHNIQUE</w:t>
      </w:r>
      <w:r>
        <w:rPr>
          <w:rStyle w:val="8"/>
          <w:rFonts w:hint="default" w:ascii="Times New Roman" w:hAnsi="Times New Roman" w:eastAsia="var(--font-mono)" w:cs="Times New Roman"/>
          <w:color w:val="14181F"/>
          <w:sz w:val="28"/>
          <w:szCs w:val="28"/>
        </w:rPr>
        <w:t xml:space="preserve"> : Chain-of-Thought + Constraint</w:t>
      </w:r>
    </w:p>
    <w:p w14:paraId="15BC629A">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PURPOSE</w:t>
      </w:r>
      <w:r>
        <w:rPr>
          <w:rStyle w:val="8"/>
          <w:rFonts w:hint="default" w:ascii="Times New Roman" w:hAnsi="Times New Roman" w:eastAsia="var(--font-mono)" w:cs="Times New Roman"/>
          <w:color w:val="14181F"/>
          <w:sz w:val="28"/>
          <w:szCs w:val="28"/>
        </w:rPr>
        <w:t xml:space="preserve">   : Extract business insights from raw data             without needing Excel or BI tools</w:t>
      </w:r>
    </w:p>
    <w:p w14:paraId="7CAA1708">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5A8F5391">
      <w:pPr>
        <w:pStyle w:val="9"/>
        <w:keepNext w:val="0"/>
        <w:keepLines w:val="0"/>
        <w:widowControl/>
        <w:suppressLineNumbers w:val="0"/>
        <w:rPr>
          <w:rStyle w:val="8"/>
          <w:rFonts w:hint="default" w:ascii="Times New Roman" w:hAnsi="Times New Roman" w:eastAsia="var(--font-mono)" w:cs="Times New Roman"/>
          <w:color w:val="14181F"/>
          <w:sz w:val="28"/>
          <w:szCs w:val="28"/>
          <w:lang w:val="en-US"/>
        </w:rPr>
      </w:pPr>
      <w:r>
        <w:rPr>
          <w:rStyle w:val="8"/>
          <w:rFonts w:hint="default" w:ascii="Times New Roman" w:hAnsi="Times New Roman" w:eastAsia="var(--font-mono)" w:cs="Times New Roman"/>
          <w:b/>
          <w:bCs/>
          <w:color w:val="14181F"/>
          <w:sz w:val="28"/>
          <w:szCs w:val="28"/>
        </w:rPr>
        <w:t>PROMPT USED:</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"Analyze this sales data and provide business insights.Think step by step:1. Identify overall trend2. Compare regional performance3. Flag any concern areas4. Give 2 actionable recommendationsData:Month | Sales  | RegionJan   | 50,000 | NorthFeb   | 65,000 | NorthJan   | 45,000 | SouthFeb   | 48,000 | SouthFormat: Brief paragraph per step, then summary table."</w:t>
      </w:r>
    </w:p>
    <w:p w14:paraId="4F4FDEF4">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63EFB038">
      <w:pPr>
        <w:pStyle w:val="9"/>
        <w:keepNext w:val="0"/>
        <w:keepLines w:val="0"/>
        <w:widowControl/>
        <w:suppressLineNumbers w:val="0"/>
        <w:rPr>
          <w:rStyle w:val="8"/>
          <w:rFonts w:hint="default" w:ascii="Times New Roman" w:hAnsi="Times New Roman" w:eastAsia="var(--font-mono)" w:cs="Times New Roman"/>
          <w:color w:val="14181F"/>
          <w:sz w:val="28"/>
          <w:szCs w:val="28"/>
          <w:lang w:val="en-US"/>
        </w:rPr>
      </w:pPr>
      <w:r>
        <w:rPr>
          <w:rStyle w:val="8"/>
          <w:rFonts w:hint="default" w:ascii="Times New Roman" w:hAnsi="Times New Roman" w:eastAsia="var(--font-mono)" w:cs="Times New Roman"/>
          <w:b/>
          <w:bCs/>
          <w:color w:val="14181F"/>
          <w:sz w:val="28"/>
          <w:szCs w:val="28"/>
        </w:rPr>
        <w:t>EXAMPLE OUTPUT:</w:t>
      </w:r>
      <w:r>
        <w:rPr>
          <w:rStyle w:val="8"/>
          <w:rFonts w:hint="default" w:ascii="Times New Roman" w:hAnsi="Times New Roman" w:eastAsia="var(--font-mono)" w:cs="Times New Roman"/>
          <w:b/>
          <w:bCs/>
          <w:color w:val="14181F"/>
          <w:sz w:val="28"/>
          <w:szCs w:val="28"/>
          <w:lang w:val="en-US"/>
        </w:rPr>
        <w:t xml:space="preserve"> (Winner - Claude)</w:t>
      </w:r>
    </w:p>
    <w:p w14:paraId="2595458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Sales Data Analysis</w:t>
      </w:r>
    </w:p>
    <w:p w14:paraId="07E60918">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41F3A1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1: Overall Trend</w:t>
      </w:r>
    </w:p>
    <w:p w14:paraId="302E245D">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Total sales across both regions grew from </w:t>
      </w:r>
      <w:r>
        <w:rPr>
          <w:rStyle w:val="12"/>
          <w:rFonts w:hint="default" w:ascii="Times New Roman" w:hAnsi="Times New Roman" w:cs="Times New Roman"/>
          <w:sz w:val="28"/>
          <w:szCs w:val="28"/>
        </w:rPr>
        <w:t>$95,000 in January</w:t>
      </w:r>
      <w:r>
        <w:rPr>
          <w:rFonts w:hint="default" w:ascii="Times New Roman" w:hAnsi="Times New Roman" w:cs="Times New Roman"/>
          <w:sz w:val="28"/>
          <w:szCs w:val="28"/>
        </w:rPr>
        <w:t xml:space="preserve"> to </w:t>
      </w:r>
      <w:r>
        <w:rPr>
          <w:rStyle w:val="12"/>
          <w:rFonts w:hint="default" w:ascii="Times New Roman" w:hAnsi="Times New Roman" w:cs="Times New Roman"/>
          <w:sz w:val="28"/>
          <w:szCs w:val="28"/>
        </w:rPr>
        <w:t>$113,000 in February</w:t>
      </w:r>
      <w:r>
        <w:rPr>
          <w:rFonts w:hint="default" w:ascii="Times New Roman" w:hAnsi="Times New Roman" w:cs="Times New Roman"/>
          <w:sz w:val="28"/>
          <w:szCs w:val="28"/>
        </w:rPr>
        <w:t xml:space="preserve"> — a healthy </w:t>
      </w:r>
      <w:r>
        <w:rPr>
          <w:rStyle w:val="12"/>
          <w:rFonts w:hint="default" w:ascii="Times New Roman" w:hAnsi="Times New Roman" w:cs="Times New Roman"/>
          <w:sz w:val="28"/>
          <w:szCs w:val="28"/>
        </w:rPr>
        <w:t>+18.9% month-over-month increase</w:t>
      </w:r>
      <w:r>
        <w:rPr>
          <w:rFonts w:hint="default" w:ascii="Times New Roman" w:hAnsi="Times New Roman" w:cs="Times New Roman"/>
          <w:sz w:val="28"/>
          <w:szCs w:val="28"/>
        </w:rPr>
        <w:t>. This indicates positive early momentum heading into Q1, with both regions contributing to growth, though at very different rates.</w:t>
      </w:r>
    </w:p>
    <w:p w14:paraId="37D6DC61">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D6D706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2: Regional Performance Comparison</w:t>
      </w:r>
    </w:p>
    <w:p w14:paraId="739AFC5C">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The North region is clearly the stronger performer, delivering </w:t>
      </w:r>
      <w:r>
        <w:rPr>
          <w:rStyle w:val="12"/>
          <w:rFonts w:hint="default" w:ascii="Times New Roman" w:hAnsi="Times New Roman" w:cs="Times New Roman"/>
          <w:sz w:val="28"/>
          <w:szCs w:val="28"/>
        </w:rPr>
        <w:t>$50,000 in January and $65,000 in February</w:t>
      </w:r>
      <w:r>
        <w:rPr>
          <w:rFonts w:hint="default" w:ascii="Times New Roman" w:hAnsi="Times New Roman" w:cs="Times New Roman"/>
          <w:sz w:val="28"/>
          <w:szCs w:val="28"/>
        </w:rPr>
        <w:t xml:space="preserve"> — a robust </w:t>
      </w:r>
      <w:r>
        <w:rPr>
          <w:rStyle w:val="12"/>
          <w:rFonts w:hint="default" w:ascii="Times New Roman" w:hAnsi="Times New Roman" w:cs="Times New Roman"/>
          <w:sz w:val="28"/>
          <w:szCs w:val="28"/>
        </w:rPr>
        <w:t>+30% growth</w:t>
      </w:r>
      <w:r>
        <w:rPr>
          <w:rFonts w:hint="default" w:ascii="Times New Roman" w:hAnsi="Times New Roman" w:cs="Times New Roman"/>
          <w:sz w:val="28"/>
          <w:szCs w:val="28"/>
        </w:rPr>
        <w:t xml:space="preserve">. The South region, however, told a very different story: starting at $45,000 in January and only reaching $48,000 in February, representing a modest </w:t>
      </w:r>
      <w:r>
        <w:rPr>
          <w:rStyle w:val="12"/>
          <w:rFonts w:hint="default" w:ascii="Times New Roman" w:hAnsi="Times New Roman" w:cs="Times New Roman"/>
          <w:sz w:val="28"/>
          <w:szCs w:val="28"/>
        </w:rPr>
        <w:t>+6.7% growth</w:t>
      </w:r>
      <w:r>
        <w:rPr>
          <w:rFonts w:hint="default" w:ascii="Times New Roman" w:hAnsi="Times New Roman" w:cs="Times New Roman"/>
          <w:sz w:val="28"/>
          <w:szCs w:val="28"/>
        </w:rPr>
        <w:t xml:space="preserve">. The North outperformed the South by </w:t>
      </w:r>
      <w:r>
        <w:rPr>
          <w:rStyle w:val="12"/>
          <w:rFonts w:hint="default" w:ascii="Times New Roman" w:hAnsi="Times New Roman" w:cs="Times New Roman"/>
          <w:sz w:val="28"/>
          <w:szCs w:val="28"/>
        </w:rPr>
        <w:t>$17,000 in February alone</w:t>
      </w:r>
      <w:r>
        <w:rPr>
          <w:rFonts w:hint="default" w:ascii="Times New Roman" w:hAnsi="Times New Roman" w:cs="Times New Roman"/>
          <w:sz w:val="28"/>
          <w:szCs w:val="28"/>
        </w:rPr>
        <w:t xml:space="preserve"> — a gap that is widening, not closing.</w:t>
      </w:r>
    </w:p>
    <w:p w14:paraId="554F1221">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F53F13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3: Concern Areas</w:t>
      </w:r>
    </w:p>
    <w:p w14:paraId="2A1E921E">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South region's near-flat growth is the primary concern. A 6.7% rise over one month, while technically positive, signals stagnation when compared to the North's trajectory. If this pattern holds into March, the performance gap between regions will compound quickly. Additionally, with only two months of data, there is no visibility into whether January's South figure ($45,000) was already a decline from prior months — making it critical to pull historical data before drawing final conclusions.</w:t>
      </w:r>
    </w:p>
    <w:p w14:paraId="4BEFAB4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BBA8E3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4: Actionable Recommendations</w:t>
      </w:r>
    </w:p>
    <w:p w14:paraId="0B3B3205">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2"/>
          <w:rFonts w:hint="default" w:ascii="Times New Roman" w:hAnsi="Times New Roman" w:cs="Times New Roman"/>
          <w:sz w:val="28"/>
          <w:szCs w:val="28"/>
        </w:rPr>
        <w:t>Recommendation 1 — Investigate the South Region immediately.</w:t>
      </w:r>
      <w:r>
        <w:rPr>
          <w:rFonts w:hint="default" w:ascii="Times New Roman" w:hAnsi="Times New Roman" w:cs="Times New Roman"/>
          <w:sz w:val="28"/>
          <w:szCs w:val="28"/>
        </w:rPr>
        <w:t xml:space="preserve"> Conduct a root-cause review of the South's underperformance — examining pipeline health, rep activity, lead quality, and any market-specific headwinds. A field manager review call this week would be a practical first step.</w:t>
      </w:r>
    </w:p>
    <w:p w14:paraId="19E32AB1">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2"/>
          <w:rFonts w:hint="default" w:ascii="Times New Roman" w:hAnsi="Times New Roman" w:cs="Times New Roman"/>
          <w:sz w:val="28"/>
          <w:szCs w:val="28"/>
        </w:rPr>
        <w:t>Recommendation 2 — Replicate the North's playbook in the South.</w:t>
      </w:r>
      <w:r>
        <w:rPr>
          <w:rFonts w:hint="default" w:ascii="Times New Roman" w:hAnsi="Times New Roman" w:cs="Times New Roman"/>
          <w:sz w:val="28"/>
          <w:szCs w:val="28"/>
        </w:rPr>
        <w:t xml:space="preserve"> Identify what drove the North's 30% growth — whether it's a campaign, a top-performing rep, a product mix shift, or stronger customer retention — and systematically apply those tactics in the South region before March closes.</w:t>
      </w:r>
    </w:p>
    <w:p w14:paraId="28F6A12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1FC822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Summary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61"/>
        <w:gridCol w:w="1292"/>
        <w:gridCol w:w="1297"/>
        <w:gridCol w:w="1358"/>
      </w:tblGrid>
      <w:tr w14:paraId="057DE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480C1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Metric</w:t>
            </w:r>
          </w:p>
        </w:tc>
        <w:tc>
          <w:tcPr>
            <w:tcW w:w="0" w:type="auto"/>
            <w:shd w:val="clear"/>
            <w:vAlign w:val="center"/>
          </w:tcPr>
          <w:p w14:paraId="3E3CF46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North</w:t>
            </w:r>
          </w:p>
        </w:tc>
        <w:tc>
          <w:tcPr>
            <w:tcW w:w="0" w:type="auto"/>
            <w:shd w:val="clear"/>
            <w:vAlign w:val="center"/>
          </w:tcPr>
          <w:p w14:paraId="09D5571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South</w:t>
            </w:r>
          </w:p>
        </w:tc>
        <w:tc>
          <w:tcPr>
            <w:tcW w:w="0" w:type="auto"/>
            <w:shd w:val="clear"/>
            <w:vAlign w:val="center"/>
          </w:tcPr>
          <w:p w14:paraId="131DA76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Combined</w:t>
            </w:r>
          </w:p>
        </w:tc>
      </w:tr>
      <w:tr w14:paraId="32491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BB91E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Jan Sales</w:t>
            </w:r>
          </w:p>
        </w:tc>
        <w:tc>
          <w:tcPr>
            <w:tcW w:w="0" w:type="auto"/>
            <w:shd w:val="clear"/>
            <w:vAlign w:val="center"/>
          </w:tcPr>
          <w:p w14:paraId="47B59AB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$50,000</w:t>
            </w:r>
          </w:p>
        </w:tc>
        <w:tc>
          <w:tcPr>
            <w:tcW w:w="0" w:type="auto"/>
            <w:shd w:val="clear"/>
            <w:vAlign w:val="center"/>
          </w:tcPr>
          <w:p w14:paraId="6C57E8D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$45,000</w:t>
            </w:r>
          </w:p>
        </w:tc>
        <w:tc>
          <w:tcPr>
            <w:tcW w:w="0" w:type="auto"/>
            <w:shd w:val="clear"/>
            <w:vAlign w:val="center"/>
          </w:tcPr>
          <w:p w14:paraId="123558F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$95,000</w:t>
            </w:r>
          </w:p>
        </w:tc>
      </w:tr>
      <w:tr w14:paraId="57112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25F72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Feb Sales</w:t>
            </w:r>
          </w:p>
        </w:tc>
        <w:tc>
          <w:tcPr>
            <w:tcW w:w="0" w:type="auto"/>
            <w:shd w:val="clear"/>
            <w:vAlign w:val="center"/>
          </w:tcPr>
          <w:p w14:paraId="5368C45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$65,000</w:t>
            </w:r>
          </w:p>
        </w:tc>
        <w:tc>
          <w:tcPr>
            <w:tcW w:w="0" w:type="auto"/>
            <w:shd w:val="clear"/>
            <w:vAlign w:val="center"/>
          </w:tcPr>
          <w:p w14:paraId="0A9BB10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$48,000</w:t>
            </w:r>
          </w:p>
        </w:tc>
        <w:tc>
          <w:tcPr>
            <w:tcW w:w="0" w:type="auto"/>
            <w:shd w:val="clear"/>
            <w:vAlign w:val="center"/>
          </w:tcPr>
          <w:p w14:paraId="2446F9A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$113,000</w:t>
            </w:r>
          </w:p>
        </w:tc>
      </w:tr>
      <w:tr w14:paraId="2EDAB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CA055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Month-on-Month Growth</w:t>
            </w:r>
          </w:p>
        </w:tc>
        <w:tc>
          <w:tcPr>
            <w:tcW w:w="0" w:type="auto"/>
            <w:shd w:val="clear"/>
            <w:vAlign w:val="center"/>
          </w:tcPr>
          <w:p w14:paraId="02BD4BA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+30.0% ✅</w:t>
            </w:r>
          </w:p>
        </w:tc>
        <w:tc>
          <w:tcPr>
            <w:tcW w:w="0" w:type="auto"/>
            <w:shd w:val="clear"/>
            <w:vAlign w:val="center"/>
          </w:tcPr>
          <w:p w14:paraId="4F7C2C7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+6.7% ⚠️</w:t>
            </w:r>
          </w:p>
        </w:tc>
        <w:tc>
          <w:tcPr>
            <w:tcW w:w="0" w:type="auto"/>
            <w:shd w:val="clear"/>
            <w:vAlign w:val="center"/>
          </w:tcPr>
          <w:p w14:paraId="39C0462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+18.9%</w:t>
            </w:r>
          </w:p>
        </w:tc>
      </w:tr>
      <w:tr w14:paraId="141CE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59E1C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Feb Contribution Share</w:t>
            </w:r>
          </w:p>
        </w:tc>
        <w:tc>
          <w:tcPr>
            <w:tcW w:w="0" w:type="auto"/>
            <w:shd w:val="clear"/>
            <w:vAlign w:val="center"/>
          </w:tcPr>
          <w:p w14:paraId="18A91A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57.5%</w:t>
            </w:r>
          </w:p>
        </w:tc>
        <w:tc>
          <w:tcPr>
            <w:tcW w:w="0" w:type="auto"/>
            <w:shd w:val="clear"/>
            <w:vAlign w:val="center"/>
          </w:tcPr>
          <w:p w14:paraId="6EADD70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42.5%</w:t>
            </w:r>
          </w:p>
        </w:tc>
        <w:tc>
          <w:tcPr>
            <w:tcW w:w="0" w:type="auto"/>
            <w:shd w:val="clear"/>
            <w:vAlign w:val="center"/>
          </w:tcPr>
          <w:p w14:paraId="4C81779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100%</w:t>
            </w:r>
          </w:p>
        </w:tc>
      </w:tr>
      <w:tr w14:paraId="0CB4C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CB009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Gap vs. North (Feb)</w:t>
            </w:r>
          </w:p>
        </w:tc>
        <w:tc>
          <w:tcPr>
            <w:tcW w:w="0" w:type="auto"/>
            <w:shd w:val="clear"/>
            <w:vAlign w:val="center"/>
          </w:tcPr>
          <w:p w14:paraId="02ECFB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vAlign w:val="center"/>
          </w:tcPr>
          <w:p w14:paraId="736CAD8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-$17,000</w:t>
            </w:r>
          </w:p>
        </w:tc>
        <w:tc>
          <w:tcPr>
            <w:tcW w:w="0" w:type="auto"/>
            <w:shd w:val="clear"/>
            <w:vAlign w:val="center"/>
          </w:tcPr>
          <w:p w14:paraId="678A3DF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r>
      <w:tr w14:paraId="3135F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950DB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Status</w:t>
            </w:r>
          </w:p>
        </w:tc>
        <w:tc>
          <w:tcPr>
            <w:tcW w:w="0" w:type="auto"/>
            <w:shd w:val="clear"/>
            <w:vAlign w:val="center"/>
          </w:tcPr>
          <w:p w14:paraId="644FF05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Strong</w:t>
            </w:r>
          </w:p>
        </w:tc>
        <w:tc>
          <w:tcPr>
            <w:tcW w:w="0" w:type="auto"/>
            <w:shd w:val="clear"/>
            <w:vAlign w:val="center"/>
          </w:tcPr>
          <w:p w14:paraId="6B3EBC3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Concern</w:t>
            </w:r>
          </w:p>
        </w:tc>
        <w:tc>
          <w:tcPr>
            <w:tcW w:w="0" w:type="auto"/>
            <w:shd w:val="clear"/>
            <w:vAlign w:val="center"/>
          </w:tcPr>
          <w:p w14:paraId="786BA9A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Moderate</w:t>
            </w:r>
          </w:p>
        </w:tc>
      </w:tr>
    </w:tbl>
    <w:p w14:paraId="0B322E51">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F816F5E">
      <w:pPr>
        <w:pStyle w:val="11"/>
        <w:keepNext w:val="0"/>
        <w:keepLines w:val="0"/>
        <w:widowControl/>
        <w:suppressLineNumbers w:val="0"/>
        <w:spacing w:before="0" w:beforeAutospacing="1" w:after="0" w:afterAutospacing="1"/>
        <w:ind w:right="72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Data Caveat:</w:t>
      </w:r>
      <w:r>
        <w:rPr>
          <w:rFonts w:hint="default" w:ascii="Times New Roman" w:hAnsi="Times New Roman" w:cs="Times New Roman"/>
          <w:sz w:val="28"/>
          <w:szCs w:val="28"/>
        </w:rPr>
        <w:t xml:space="preserve"> This analysis is based on two months only. A minimum of 4–6 months of data is recommended for reliable trend detection and seasonal adjustment.</w:t>
      </w:r>
    </w:p>
    <w:p w14:paraId="38560FD1">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64C6B27E">
      <w:pPr>
        <w:pStyle w:val="9"/>
        <w:keepNext w:val="0"/>
        <w:keepLines w:val="0"/>
        <w:widowControl/>
        <w:suppressLineNumbers w:val="0"/>
        <w:rPr>
          <w:rStyle w:val="8"/>
          <w:rFonts w:hint="default" w:ascii="Times New Roman" w:hAnsi="Times New Roman" w:cs="Times New Roman"/>
          <w:b/>
          <w:bCs/>
          <w:sz w:val="28"/>
          <w:szCs w:val="28"/>
        </w:rPr>
      </w:pPr>
      <w:r>
        <w:rPr>
          <w:rStyle w:val="8"/>
          <w:rFonts w:hint="default" w:ascii="Times New Roman" w:hAnsi="Times New Roman" w:cs="Times New Roman"/>
          <w:b/>
          <w:bCs/>
          <w:sz w:val="28"/>
          <w:szCs w:val="28"/>
        </w:rPr>
        <w:t>RATINGS (out of 5):</w:t>
      </w:r>
    </w:p>
    <w:p w14:paraId="43956D38">
      <w:pPr>
        <w:pStyle w:val="9"/>
        <w:keepNext w:val="0"/>
        <w:keepLines w:val="0"/>
        <w:widowControl/>
        <w:suppressLineNumbers w:val="0"/>
        <w:rPr>
          <w:rStyle w:val="8"/>
          <w:rFonts w:hint="default" w:ascii="Times New Roman" w:hAnsi="Times New Roman" w:cs="Times New Roman"/>
          <w:sz w:val="28"/>
          <w:szCs w:val="28"/>
        </w:rPr>
      </w:pPr>
    </w:p>
    <w:p w14:paraId="563F96F9">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sz w:val="28"/>
          <w:szCs w:val="28"/>
        </w:rPr>
        <w:t>Gemini  → Accuracy: 5 | Clarity: 4 | Relevance: 3 | Overall: 4.0</w:t>
      </w:r>
    </w:p>
    <w:p w14:paraId="1A3D7DDD">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sz w:val="28"/>
          <w:szCs w:val="28"/>
        </w:rPr>
        <w:t>ChatGPT → Accuracy: 4 | Clarity: 4 | Relevance: 4 | Overall: 4.0</w:t>
      </w:r>
    </w:p>
    <w:p w14:paraId="01DEC616">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sz w:val="28"/>
          <w:szCs w:val="28"/>
        </w:rPr>
        <w:t>Claude  → Accuracy: 5 | Clarity: 5 | Relevance: 5 | Overall: 5.0</w:t>
      </w:r>
    </w:p>
    <w:p w14:paraId="17910F85">
      <w:pPr>
        <w:pStyle w:val="9"/>
        <w:keepNext w:val="0"/>
        <w:keepLines w:val="0"/>
        <w:widowControl/>
        <w:suppressLineNumbers w:val="0"/>
        <w:rPr>
          <w:rStyle w:val="8"/>
          <w:rFonts w:hint="default" w:ascii="Times New Roman" w:hAnsi="Times New Roman" w:cs="Times New Roman"/>
          <w:sz w:val="28"/>
          <w:szCs w:val="28"/>
        </w:rPr>
      </w:pPr>
    </w:p>
    <w:p w14:paraId="35407C8B">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b/>
          <w:bCs/>
          <w:sz w:val="28"/>
          <w:szCs w:val="28"/>
        </w:rPr>
        <w:t>WINNER:</w:t>
      </w:r>
      <w:r>
        <w:rPr>
          <w:rStyle w:val="8"/>
          <w:rFonts w:hint="default" w:ascii="Times New Roman" w:hAnsi="Times New Roman" w:cs="Times New Roman"/>
          <w:sz w:val="28"/>
          <w:szCs w:val="28"/>
        </w:rPr>
        <w:t xml:space="preserve"> Claude</w:t>
      </w:r>
    </w:p>
    <w:p w14:paraId="58F6B224">
      <w:pPr>
        <w:pStyle w:val="9"/>
        <w:keepNext w:val="0"/>
        <w:keepLines w:val="0"/>
        <w:widowControl/>
        <w:suppressLineNumbers w:val="0"/>
        <w:rPr>
          <w:rStyle w:val="8"/>
          <w:rFonts w:hint="default" w:ascii="Times New Roman" w:hAnsi="Times New Roman" w:cs="Times New Roman"/>
          <w:sz w:val="28"/>
          <w:szCs w:val="28"/>
        </w:rPr>
      </w:pPr>
    </w:p>
    <w:p w14:paraId="03589288">
      <w:pPr>
        <w:pStyle w:val="9"/>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b/>
          <w:bCs/>
          <w:sz w:val="28"/>
          <w:szCs w:val="28"/>
        </w:rPr>
        <w:t>LEARNING:</w:t>
      </w:r>
      <w:r>
        <w:rPr>
          <w:rStyle w:val="8"/>
          <w:rFonts w:hint="default" w:ascii="Times New Roman" w:hAnsi="Times New Roman" w:cs="Times New Roman"/>
          <w:sz w:val="28"/>
          <w:szCs w:val="28"/>
        </w:rPr>
        <w:t xml:space="preserve"> Business analysis prompts reward models that go beyond the data given — adding "Feb Contribution Share" (57.5% vs 42.5%) and a Data Caveat about minimum data requirements for reliable trend detection shows analyst-level thinking, not just prompt-following. The model that treats the task like a real business deliverable — including what the data can't tell you — wins every time.</w:t>
      </w:r>
    </w:p>
    <w:p w14:paraId="3F488409">
      <w:pPr>
        <w:pStyle w:val="9"/>
        <w:keepNext w:val="0"/>
        <w:keepLines w:val="0"/>
        <w:widowControl/>
        <w:suppressLineNumbers w:val="0"/>
        <w:rPr>
          <w:rStyle w:val="8"/>
          <w:rFonts w:hint="default" w:ascii="Times New Roman" w:hAnsi="Times New Roman" w:cs="Times New Roman"/>
          <w:sz w:val="28"/>
          <w:szCs w:val="28"/>
        </w:rPr>
      </w:pPr>
    </w:p>
    <w:p w14:paraId="07A74B1C">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REASON FOR WINNER:</w:t>
      </w:r>
      <w:r>
        <w:rPr>
          <w:rStyle w:val="8"/>
          <w:rFonts w:hint="default" w:ascii="Times New Roman" w:hAnsi="Times New Roman" w:cs="Times New Roman"/>
          <w:sz w:val="28"/>
          <w:szCs w:val="28"/>
        </w:rPr>
        <w:t xml:space="preserve"> Claude delivered every required step as a proper paragraph, included the most complete summary table (5 rows including Contribution Share and Status indicators 🟢🔴🟡), gave specific and actionable recommendations ("a field manager review call this week"), and uniquely flagged the data limitation (only 2 months = unreliable trend) — exactly what a real analyst would caveat. Gemini added an unrequested forecast offer. ChatGPT's table added a "Key Insight" row which was creative but the recommendations lacked the operational specificity Claude provided.</w:t>
      </w:r>
    </w:p>
    <w:p w14:paraId="7BF9A53E">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var(--font-mono)" w:cs="Times New Roman"/>
          <w:color w:val="14181F"/>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0A65561">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1B577248">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29391A55">
      <w:pPr>
        <w:pStyle w:val="9"/>
        <w:keepNext w:val="0"/>
        <w:keepLines w:val="0"/>
        <w:widowControl/>
        <w:suppressLineNumbers w:val="0"/>
        <w:rPr>
          <w:rStyle w:val="8"/>
          <w:rFonts w:hint="default" w:ascii="Times New Roman" w:hAnsi="Times New Roman" w:eastAsia="var(--font-mono)" w:cs="Times New Roman"/>
          <w:b/>
          <w:bCs/>
          <w:color w:val="14181F"/>
          <w:sz w:val="28"/>
          <w:szCs w:val="28"/>
        </w:rPr>
      </w:pPr>
      <w:r>
        <w:rPr>
          <w:rStyle w:val="8"/>
          <w:rFonts w:hint="default" w:ascii="Times New Roman" w:hAnsi="Times New Roman" w:eastAsia="var(--font-mono)" w:cs="Times New Roman"/>
          <w:b/>
          <w:bCs/>
          <w:color w:val="14181F"/>
          <w:sz w:val="28"/>
          <w:szCs w:val="28"/>
        </w:rPr>
        <w:t>USE CASE #18: Survey Response Analysis</w:t>
      </w:r>
    </w:p>
    <w:p w14:paraId="6D3411A9">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2E289F31">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DOMAIN </w:t>
      </w:r>
      <w:r>
        <w:rPr>
          <w:rStyle w:val="8"/>
          <w:rFonts w:hint="default" w:ascii="Times New Roman" w:hAnsi="Times New Roman" w:eastAsia="var(--font-mono)" w:cs="Times New Roman"/>
          <w:color w:val="14181F"/>
          <w:sz w:val="28"/>
          <w:szCs w:val="28"/>
        </w:rPr>
        <w:t xml:space="preserve">   : Data &amp; Analysis</w:t>
      </w:r>
    </w:p>
    <w:p w14:paraId="4524FC1C">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TECHNIQUE </w:t>
      </w:r>
      <w:r>
        <w:rPr>
          <w:rStyle w:val="8"/>
          <w:rFonts w:hint="default" w:ascii="Times New Roman" w:hAnsi="Times New Roman" w:eastAsia="var(--font-mono)" w:cs="Times New Roman"/>
          <w:color w:val="14181F"/>
          <w:sz w:val="28"/>
          <w:szCs w:val="28"/>
        </w:rPr>
        <w:t>: Zero-Shot + Constraint</w:t>
      </w:r>
    </w:p>
    <w:p w14:paraId="76EA32BB">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PURPOSE </w:t>
      </w:r>
      <w:r>
        <w:rPr>
          <w:rStyle w:val="8"/>
          <w:rFonts w:hint="default" w:ascii="Times New Roman" w:hAnsi="Times New Roman" w:eastAsia="var(--font-mono)" w:cs="Times New Roman"/>
          <w:color w:val="14181F"/>
          <w:sz w:val="28"/>
          <w:szCs w:val="28"/>
        </w:rPr>
        <w:t xml:space="preserve">  : Analyze qualitative feedback, survey results,</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or customer reviews at scale</w:t>
      </w:r>
    </w:p>
    <w:p w14:paraId="22DD6561">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4727A7A6">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PROMPT USED:</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"Analyze the following employee survey responses and identify the top 3 themes. For each theme:- Name the theme (2-3 words)- Summarize what employees are saying- Indicate sentiment: Positive / Negative / MixedResponses:1. 'The training programs are outdated and not relevant.'2. 'I love the team culture here, everyone is supportive.'3. 'Management doesn't communicate changes well.'4. 'Our tools are old — still using software from 2015.'5. 'My manager is great but upper management is distant.'6. 'Team lunches and events make this place special.'7. 'We need better technology to do our work efficiently.'8. 'Communication from leadership is inconsistent.'"</w:t>
      </w:r>
    </w:p>
    <w:p w14:paraId="3D40D2B0">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51D7ECD8">
      <w:pPr>
        <w:pStyle w:val="9"/>
        <w:keepNext w:val="0"/>
        <w:keepLines w:val="0"/>
        <w:widowControl/>
        <w:suppressLineNumbers w:val="0"/>
        <w:rPr>
          <w:rStyle w:val="8"/>
          <w:rFonts w:hint="default" w:ascii="Times New Roman" w:hAnsi="Times New Roman" w:eastAsia="var(--font-mono)" w:cs="Times New Roman"/>
          <w:b/>
          <w:bCs/>
          <w:color w:val="14181F"/>
          <w:sz w:val="28"/>
          <w:szCs w:val="28"/>
          <w:lang w:val="en-US"/>
        </w:rPr>
      </w:pPr>
      <w:r>
        <w:rPr>
          <w:rStyle w:val="8"/>
          <w:rFonts w:hint="default" w:ascii="Times New Roman" w:hAnsi="Times New Roman" w:eastAsia="var(--font-mono)" w:cs="Times New Roman"/>
          <w:b/>
          <w:bCs/>
          <w:color w:val="14181F"/>
          <w:sz w:val="28"/>
          <w:szCs w:val="28"/>
        </w:rPr>
        <w:t>EXAMPLE OUTPUT:</w:t>
      </w:r>
      <w:r>
        <w:rPr>
          <w:rStyle w:val="8"/>
          <w:rFonts w:hint="default" w:ascii="Times New Roman" w:hAnsi="Times New Roman" w:eastAsia="var(--font-mono)" w:cs="Times New Roman"/>
          <w:b/>
          <w:bCs/>
          <w:color w:val="14181F"/>
          <w:sz w:val="28"/>
          <w:szCs w:val="28"/>
          <w:lang w:val="en-US"/>
        </w:rPr>
        <w:t xml:space="preserve"> (Winner -Claude)</w:t>
      </w:r>
    </w:p>
    <w:p w14:paraId="5F6E92CD">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0DC6764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Employee Survey — Thematic Analysis</w:t>
      </w:r>
    </w:p>
    <w:p w14:paraId="2FFB2D6D">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2"/>
          <w:rFonts w:hint="default" w:ascii="Times New Roman" w:hAnsi="Times New Roman" w:cs="Times New Roman"/>
          <w:sz w:val="28"/>
          <w:szCs w:val="28"/>
        </w:rPr>
        <w:t>Responses Analyzed:</w:t>
      </w:r>
      <w:r>
        <w:rPr>
          <w:rFonts w:hint="default" w:ascii="Times New Roman" w:hAnsi="Times New Roman" w:cs="Times New Roman"/>
          <w:sz w:val="28"/>
          <w:szCs w:val="28"/>
        </w:rPr>
        <w:t xml:space="preserve"> 8 | </w:t>
      </w:r>
      <w:r>
        <w:rPr>
          <w:rStyle w:val="12"/>
          <w:rFonts w:hint="default" w:ascii="Times New Roman" w:hAnsi="Times New Roman" w:cs="Times New Roman"/>
          <w:sz w:val="28"/>
          <w:szCs w:val="28"/>
        </w:rPr>
        <w:t>Themes Identified:</w:t>
      </w:r>
      <w:r>
        <w:rPr>
          <w:rFonts w:hint="default" w:ascii="Times New Roman" w:hAnsi="Times New Roman" w:cs="Times New Roman"/>
          <w:sz w:val="28"/>
          <w:szCs w:val="28"/>
        </w:rPr>
        <w:t xml:space="preserve"> 3</w:t>
      </w:r>
    </w:p>
    <w:p w14:paraId="710E241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BC9B4B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Theme 1: Leadership Communication</w:t>
      </w:r>
    </w:p>
    <w:p w14:paraId="3F8AED47">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2"/>
          <w:rFonts w:hint="default" w:ascii="Times New Roman" w:hAnsi="Times New Roman" w:cs="Times New Roman"/>
          <w:sz w:val="28"/>
          <w:szCs w:val="28"/>
        </w:rPr>
        <w:t>Sentiment: 🔴 Negative</w:t>
      </w:r>
    </w:p>
    <w:p w14:paraId="087B7941">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Employees consistently express frustration with how changes and decisions are communicated from upper and senior management. While direct line managers receive praise, leadership above that level is perceived as distant, inconsistent, and out of touch. This disconnect between frontline management (seen positively) and upper leadership (seen negatively) suggests a structural communication gap rather than a company-wide culture failure.</w:t>
      </w:r>
    </w:p>
    <w:p w14:paraId="46C4D90A">
      <w:pPr>
        <w:pStyle w:val="11"/>
        <w:keepNext w:val="0"/>
        <w:keepLines w:val="0"/>
        <w:widowControl/>
        <w:suppressLineNumbers w:val="0"/>
        <w:spacing w:before="0" w:beforeAutospacing="1" w:after="0" w:afterAutospacing="1"/>
        <w:ind w:left="720" w:right="720"/>
        <w:rPr>
          <w:rFonts w:hint="default" w:ascii="Times New Roman" w:hAnsi="Times New Roman" w:cs="Times New Roman"/>
          <w:sz w:val="28"/>
          <w:szCs w:val="28"/>
        </w:rPr>
      </w:pPr>
      <w:r>
        <w:rPr>
          <w:rStyle w:val="7"/>
          <w:rFonts w:hint="default" w:ascii="Times New Roman" w:hAnsi="Times New Roman" w:cs="Times New Roman"/>
          <w:sz w:val="28"/>
          <w:szCs w:val="28"/>
        </w:rPr>
        <w:t>Responses linked: #3, #5, #8</w:t>
      </w:r>
    </w:p>
    <w:p w14:paraId="502B5B5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FF28D6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Theme 2: Outdated Tools &amp; Training</w:t>
      </w:r>
    </w:p>
    <w:p w14:paraId="6AA8635E">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2"/>
          <w:rFonts w:hint="default" w:ascii="Times New Roman" w:hAnsi="Times New Roman" w:cs="Times New Roman"/>
          <w:sz w:val="28"/>
          <w:szCs w:val="28"/>
        </w:rPr>
        <w:t>Sentiment: 🔴 Negative</w:t>
      </w:r>
    </w:p>
    <w:p w14:paraId="03431641">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There is a clear and repeated concern that both the technology and learning resources provided to employees are no longer fit for purpose. Staff feel their productivity is being hampered by legacy software and that training programs don't reflect the skills needed for their current roles. This is not isolated feedback — it appears across multiple responses, signalling a systemic gap in investment in employee enablement.</w:t>
      </w:r>
    </w:p>
    <w:p w14:paraId="0ED50168">
      <w:pPr>
        <w:pStyle w:val="11"/>
        <w:keepNext w:val="0"/>
        <w:keepLines w:val="0"/>
        <w:widowControl/>
        <w:suppressLineNumbers w:val="0"/>
        <w:spacing w:before="0" w:beforeAutospacing="1" w:after="0" w:afterAutospacing="1"/>
        <w:ind w:left="720" w:right="720"/>
        <w:rPr>
          <w:rFonts w:hint="default" w:ascii="Times New Roman" w:hAnsi="Times New Roman" w:cs="Times New Roman"/>
          <w:sz w:val="28"/>
          <w:szCs w:val="28"/>
        </w:rPr>
      </w:pPr>
      <w:r>
        <w:rPr>
          <w:rStyle w:val="7"/>
          <w:rFonts w:hint="default" w:ascii="Times New Roman" w:hAnsi="Times New Roman" w:cs="Times New Roman"/>
          <w:sz w:val="28"/>
          <w:szCs w:val="28"/>
        </w:rPr>
        <w:t>Responses linked: #1, #4, #7</w:t>
      </w:r>
    </w:p>
    <w:p w14:paraId="207D5142">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846682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Theme 3: Team Culture &amp; Belonging</w:t>
      </w:r>
    </w:p>
    <w:p w14:paraId="422E3A9C">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2"/>
          <w:rFonts w:hint="default" w:ascii="Times New Roman" w:hAnsi="Times New Roman" w:cs="Times New Roman"/>
          <w:sz w:val="28"/>
          <w:szCs w:val="28"/>
        </w:rPr>
        <w:t>Sentiment: 🟢 Positive</w:t>
      </w:r>
    </w:p>
    <w:p w14:paraId="37CF7CA5">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Employees are genuinely enthusiastic about their immediate team environment. Peer relationships, collaborative spirit, and social initiatives like team lunches and events are cited as meaningful and morale-boosting. This is the strongest positive signal in the dataset and represents a real organizational asset worth protecting and amplifying.</w:t>
      </w:r>
    </w:p>
    <w:p w14:paraId="3E0EAB2F">
      <w:pPr>
        <w:pStyle w:val="11"/>
        <w:keepNext w:val="0"/>
        <w:keepLines w:val="0"/>
        <w:widowControl/>
        <w:suppressLineNumbers w:val="0"/>
        <w:spacing w:before="0" w:beforeAutospacing="1" w:after="0" w:afterAutospacing="1"/>
        <w:ind w:left="720" w:right="720"/>
        <w:rPr>
          <w:rFonts w:hint="default" w:ascii="Times New Roman" w:hAnsi="Times New Roman" w:cs="Times New Roman"/>
          <w:sz w:val="28"/>
          <w:szCs w:val="28"/>
        </w:rPr>
      </w:pPr>
      <w:r>
        <w:rPr>
          <w:rStyle w:val="7"/>
          <w:rFonts w:hint="default" w:ascii="Times New Roman" w:hAnsi="Times New Roman" w:cs="Times New Roman"/>
          <w:sz w:val="28"/>
          <w:szCs w:val="28"/>
        </w:rPr>
        <w:t>Responses linked: #2, #6</w:t>
      </w:r>
    </w:p>
    <w:p w14:paraId="0BCCDDEA">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7DB4DB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Summary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
        <w:gridCol w:w="2438"/>
        <w:gridCol w:w="3127"/>
        <w:gridCol w:w="1311"/>
        <w:gridCol w:w="1305"/>
      </w:tblGrid>
      <w:tr w14:paraId="329AD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95AA01">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w:t>
            </w:r>
          </w:p>
        </w:tc>
        <w:tc>
          <w:tcPr>
            <w:tcW w:w="0" w:type="auto"/>
            <w:shd w:val="clear"/>
            <w:vAlign w:val="center"/>
          </w:tcPr>
          <w:p w14:paraId="38FF4D9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Theme</w:t>
            </w:r>
          </w:p>
        </w:tc>
        <w:tc>
          <w:tcPr>
            <w:tcW w:w="0" w:type="auto"/>
            <w:shd w:val="clear"/>
            <w:vAlign w:val="center"/>
          </w:tcPr>
          <w:p w14:paraId="084C437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Key Issue</w:t>
            </w:r>
          </w:p>
        </w:tc>
        <w:tc>
          <w:tcPr>
            <w:tcW w:w="0" w:type="auto"/>
            <w:shd w:val="clear"/>
            <w:vAlign w:val="center"/>
          </w:tcPr>
          <w:p w14:paraId="5F8D013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Sentiment</w:t>
            </w:r>
          </w:p>
        </w:tc>
        <w:tc>
          <w:tcPr>
            <w:tcW w:w="0" w:type="auto"/>
            <w:shd w:val="clear"/>
            <w:vAlign w:val="center"/>
          </w:tcPr>
          <w:p w14:paraId="2F39E03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Responses</w:t>
            </w:r>
          </w:p>
        </w:tc>
      </w:tr>
      <w:tr w14:paraId="27DEC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E6FA6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w:t>
            </w:r>
          </w:p>
        </w:tc>
        <w:tc>
          <w:tcPr>
            <w:tcW w:w="0" w:type="auto"/>
            <w:shd w:val="clear"/>
            <w:vAlign w:val="center"/>
          </w:tcPr>
          <w:p w14:paraId="5BDD56F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Leadership Communication</w:t>
            </w:r>
          </w:p>
        </w:tc>
        <w:tc>
          <w:tcPr>
            <w:tcW w:w="0" w:type="auto"/>
            <w:shd w:val="clear"/>
            <w:vAlign w:val="center"/>
          </w:tcPr>
          <w:p w14:paraId="6607C5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Inconsistent, distant upper management</w:t>
            </w:r>
          </w:p>
        </w:tc>
        <w:tc>
          <w:tcPr>
            <w:tcW w:w="0" w:type="auto"/>
            <w:shd w:val="clear"/>
            <w:vAlign w:val="center"/>
          </w:tcPr>
          <w:p w14:paraId="7B29081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Negative</w:t>
            </w:r>
          </w:p>
        </w:tc>
        <w:tc>
          <w:tcPr>
            <w:tcW w:w="0" w:type="auto"/>
            <w:shd w:val="clear"/>
            <w:vAlign w:val="center"/>
          </w:tcPr>
          <w:p w14:paraId="1517BEE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 #5, #8</w:t>
            </w:r>
          </w:p>
        </w:tc>
      </w:tr>
      <w:tr w14:paraId="51F1D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E4E36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c>
          <w:tcPr>
            <w:tcW w:w="0" w:type="auto"/>
            <w:shd w:val="clear"/>
            <w:vAlign w:val="center"/>
          </w:tcPr>
          <w:p w14:paraId="61FCCBC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Outdated Tools &amp; Training</w:t>
            </w:r>
          </w:p>
        </w:tc>
        <w:tc>
          <w:tcPr>
            <w:tcW w:w="0" w:type="auto"/>
            <w:shd w:val="clear"/>
            <w:vAlign w:val="center"/>
          </w:tcPr>
          <w:p w14:paraId="17CA9EE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Legacy software, irrelevant learning programs</w:t>
            </w:r>
          </w:p>
        </w:tc>
        <w:tc>
          <w:tcPr>
            <w:tcW w:w="0" w:type="auto"/>
            <w:shd w:val="clear"/>
            <w:vAlign w:val="center"/>
          </w:tcPr>
          <w:p w14:paraId="7AC56C1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Negative</w:t>
            </w:r>
          </w:p>
        </w:tc>
        <w:tc>
          <w:tcPr>
            <w:tcW w:w="0" w:type="auto"/>
            <w:shd w:val="clear"/>
            <w:vAlign w:val="center"/>
          </w:tcPr>
          <w:p w14:paraId="7FEF44D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 #4, #7</w:t>
            </w:r>
          </w:p>
        </w:tc>
      </w:tr>
      <w:tr w14:paraId="3F0E4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01321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c>
          <w:tcPr>
            <w:tcW w:w="0" w:type="auto"/>
            <w:shd w:val="clear"/>
            <w:vAlign w:val="center"/>
          </w:tcPr>
          <w:p w14:paraId="1131465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Team Culture &amp; Belonging</w:t>
            </w:r>
          </w:p>
        </w:tc>
        <w:tc>
          <w:tcPr>
            <w:tcW w:w="0" w:type="auto"/>
            <w:shd w:val="clear"/>
            <w:vAlign w:val="center"/>
          </w:tcPr>
          <w:p w14:paraId="5D0A01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Strong peer bonds, valued social events</w:t>
            </w:r>
          </w:p>
        </w:tc>
        <w:tc>
          <w:tcPr>
            <w:tcW w:w="0" w:type="auto"/>
            <w:shd w:val="clear"/>
            <w:vAlign w:val="center"/>
          </w:tcPr>
          <w:p w14:paraId="1849A83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Positive</w:t>
            </w:r>
          </w:p>
        </w:tc>
        <w:tc>
          <w:tcPr>
            <w:tcW w:w="0" w:type="auto"/>
            <w:shd w:val="clear"/>
            <w:vAlign w:val="center"/>
          </w:tcPr>
          <w:p w14:paraId="1B193A0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 #6</w:t>
            </w:r>
          </w:p>
        </w:tc>
      </w:tr>
    </w:tbl>
    <w:p w14:paraId="449438ED">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B50EF6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Strategic Takeaway</w:t>
      </w:r>
    </w:p>
    <w:p w14:paraId="58045E0C">
      <w:pPr>
        <w:pStyle w:val="11"/>
        <w:keepNext w:val="0"/>
        <w:keepLines w:val="0"/>
        <w:widowControl/>
        <w:suppressLineNumbers w:val="0"/>
        <w:spacing w:before="0" w:beforeAutospacing="1" w:after="0" w:afterAutospacing="1"/>
        <w:ind w:right="720"/>
        <w:rPr>
          <w:rFonts w:hint="default" w:ascii="Times New Roman" w:hAnsi="Times New Roman" w:cs="Times New Roman"/>
          <w:sz w:val="28"/>
          <w:szCs w:val="28"/>
        </w:rPr>
      </w:pPr>
      <w:r>
        <w:rPr>
          <w:rFonts w:hint="default" w:ascii="Times New Roman" w:hAnsi="Times New Roman" w:cs="Times New Roman"/>
          <w:sz w:val="28"/>
          <w:szCs w:val="28"/>
        </w:rPr>
        <w:t xml:space="preserve">Two of three themes are negative — both pointing to </w:t>
      </w:r>
      <w:r>
        <w:rPr>
          <w:rStyle w:val="12"/>
          <w:rFonts w:hint="default" w:ascii="Times New Roman" w:hAnsi="Times New Roman" w:cs="Times New Roman"/>
          <w:sz w:val="28"/>
          <w:szCs w:val="28"/>
        </w:rPr>
        <w:t>underinvestment</w:t>
      </w:r>
      <w:r>
        <w:rPr>
          <w:rFonts w:hint="default" w:ascii="Times New Roman" w:hAnsi="Times New Roman" w:cs="Times New Roman"/>
          <w:sz w:val="28"/>
          <w:szCs w:val="28"/>
        </w:rPr>
        <w:t>: in technology, in training, and in leadership visibility. The one bright spot — team culture — is entirely people-driven and costs relatively little to sustain. Leadership should act on themes 1 and 2 urgently to prevent cultural erosion over time.</w:t>
      </w:r>
    </w:p>
    <w:p w14:paraId="4AFB0335">
      <w:pPr>
        <w:pStyle w:val="9"/>
        <w:keepNext w:val="0"/>
        <w:keepLines w:val="0"/>
        <w:widowControl/>
        <w:suppressLineNumbers w:val="0"/>
        <w:rPr>
          <w:rStyle w:val="8"/>
          <w:rFonts w:hint="default" w:ascii="Times New Roman" w:hAnsi="Times New Roman" w:eastAsia="var(--font-mono)"/>
          <w:b/>
          <w:bCs/>
          <w:color w:val="14181F"/>
          <w:sz w:val="28"/>
          <w:szCs w:val="28"/>
        </w:rPr>
      </w:pPr>
      <w:r>
        <w:rPr>
          <w:rStyle w:val="8"/>
          <w:rFonts w:hint="default" w:ascii="Times New Roman" w:hAnsi="Times New Roman" w:eastAsia="var(--font-mono)"/>
          <w:b/>
          <w:bCs/>
          <w:color w:val="14181F"/>
          <w:sz w:val="28"/>
          <w:szCs w:val="28"/>
        </w:rPr>
        <w:t>RATINGS (out of 5):</w:t>
      </w:r>
    </w:p>
    <w:p w14:paraId="6FCF62A4">
      <w:pPr>
        <w:pStyle w:val="9"/>
        <w:keepNext w:val="0"/>
        <w:keepLines w:val="0"/>
        <w:widowControl/>
        <w:suppressLineNumbers w:val="0"/>
        <w:rPr>
          <w:rStyle w:val="8"/>
          <w:rFonts w:hint="default" w:ascii="Times New Roman" w:hAnsi="Times New Roman" w:eastAsia="var(--font-mono)"/>
          <w:color w:val="14181F"/>
          <w:sz w:val="28"/>
          <w:szCs w:val="28"/>
        </w:rPr>
      </w:pPr>
    </w:p>
    <w:p w14:paraId="3FC024A3">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Gemini  → Accuracy: 4 | Clarity: 4 | Relevance: 3 | Overall: 3.7</w:t>
      </w:r>
    </w:p>
    <w:p w14:paraId="12E1CB68">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ChatGPT → Accuracy: 4 | Clarity: 4 | Relevance: 4 | Overall: 4.0</w:t>
      </w:r>
    </w:p>
    <w:p w14:paraId="06062A1C">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Claude  → Accuracy: 5 | Clarity: 5 | Relevance: 5 | Overall: 5.0</w:t>
      </w:r>
    </w:p>
    <w:p w14:paraId="33141D0F">
      <w:pPr>
        <w:pStyle w:val="9"/>
        <w:keepNext w:val="0"/>
        <w:keepLines w:val="0"/>
        <w:widowControl/>
        <w:suppressLineNumbers w:val="0"/>
        <w:rPr>
          <w:rStyle w:val="8"/>
          <w:rFonts w:hint="default" w:ascii="Times New Roman" w:hAnsi="Times New Roman" w:eastAsia="var(--font-mono)"/>
          <w:color w:val="14181F"/>
          <w:sz w:val="28"/>
          <w:szCs w:val="28"/>
        </w:rPr>
      </w:pPr>
    </w:p>
    <w:p w14:paraId="7D531DF7">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WINNER:</w:t>
      </w:r>
      <w:r>
        <w:rPr>
          <w:rStyle w:val="8"/>
          <w:rFonts w:hint="default" w:ascii="Times New Roman" w:hAnsi="Times New Roman" w:eastAsia="var(--font-mono)"/>
          <w:color w:val="14181F"/>
          <w:sz w:val="28"/>
          <w:szCs w:val="28"/>
        </w:rPr>
        <w:t xml:space="preserve"> Claude</w:t>
      </w:r>
    </w:p>
    <w:p w14:paraId="7F7DF99F">
      <w:pPr>
        <w:pStyle w:val="9"/>
        <w:keepNext w:val="0"/>
        <w:keepLines w:val="0"/>
        <w:widowControl/>
        <w:suppressLineNumbers w:val="0"/>
        <w:rPr>
          <w:rStyle w:val="8"/>
          <w:rFonts w:hint="default" w:ascii="Times New Roman" w:hAnsi="Times New Roman" w:eastAsia="var(--font-mono)"/>
          <w:color w:val="14181F"/>
          <w:sz w:val="28"/>
          <w:szCs w:val="28"/>
        </w:rPr>
      </w:pPr>
    </w:p>
    <w:p w14:paraId="3D1A276B">
      <w:pPr>
        <w:pStyle w:val="9"/>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LEARNING:</w:t>
      </w:r>
      <w:r>
        <w:rPr>
          <w:rStyle w:val="8"/>
          <w:rFonts w:hint="default" w:ascii="Times New Roman" w:hAnsi="Times New Roman" w:eastAsia="var(--font-mono)"/>
          <w:color w:val="14181F"/>
          <w:sz w:val="28"/>
          <w:szCs w:val="28"/>
        </w:rPr>
        <w:t xml:space="preserve"> Qualitative data analysis prompts reward models that link themes back to source responses (e.g., "Responses linked: #3, #5, #8") — this traceability transforms a summary into an auditable analysis, which is what HR and leadership actually need to act on findings. A Strategic Takeaway closing ("Two of three themes are negative — both pointing to underinvestment") elevates the output from reporter to advisor.</w:t>
      </w:r>
    </w:p>
    <w:p w14:paraId="077080EF">
      <w:pPr>
        <w:pStyle w:val="9"/>
        <w:keepNext w:val="0"/>
        <w:keepLines w:val="0"/>
        <w:widowControl/>
        <w:suppressLineNumbers w:val="0"/>
        <w:rPr>
          <w:rStyle w:val="8"/>
          <w:rFonts w:hint="default" w:ascii="Times New Roman" w:hAnsi="Times New Roman" w:eastAsia="var(--font-mono)"/>
          <w:color w:val="14181F"/>
          <w:sz w:val="28"/>
          <w:szCs w:val="28"/>
        </w:rPr>
      </w:pPr>
    </w:p>
    <w:p w14:paraId="76CBB06C">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b/>
          <w:bCs/>
          <w:color w:val="14181F"/>
          <w:sz w:val="28"/>
          <w:szCs w:val="28"/>
        </w:rPr>
        <w:t>REASON FOR WINNER:</w:t>
      </w:r>
      <w:r>
        <w:rPr>
          <w:rStyle w:val="8"/>
          <w:rFonts w:hint="default" w:ascii="Times New Roman" w:hAnsi="Times New Roman" w:eastAsia="var(--font-mono)"/>
          <w:color w:val="14181F"/>
          <w:sz w:val="28"/>
          <w:szCs w:val="28"/>
        </w:rPr>
        <w:t xml:space="preserve"> Claude is the only model that mapped each theme directly to numbered source responses (making findings verifiable), separated "direct manager" sentiment from "upper leadership" sentiment with precision, included a summary table with emoji-coded sentiment, and closed with a Strategic Takeaway that gave leadership a clear action priority — all without adding unrequested extras. Gemini added an unrequested follow-up offer. ChatGPT merged Tools and Training into one theme which, while reasonable, caused it to miss the structural communication gap Claude correctly identified as a separate, distinct concern.</w:t>
      </w:r>
    </w:p>
    <w:p w14:paraId="09E4EA81">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5847C36E">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var(--font-mono)" w:cs="Times New Roman"/>
          <w:color w:val="14181F"/>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8823E2D">
      <w:pPr>
        <w:pStyle w:val="9"/>
        <w:keepNext w:val="0"/>
        <w:keepLines w:val="0"/>
        <w:widowControl/>
        <w:suppressLineNumbers w:val="0"/>
        <w:rPr>
          <w:rStyle w:val="8"/>
          <w:rFonts w:hint="default" w:ascii="Times New Roman" w:hAnsi="Times New Roman" w:eastAsia="var(--font-mono)" w:cs="Times New Roman"/>
          <w:b/>
          <w:bCs/>
          <w:color w:val="14181F"/>
          <w:sz w:val="28"/>
          <w:szCs w:val="28"/>
        </w:rPr>
      </w:pPr>
      <w:r>
        <w:rPr>
          <w:rStyle w:val="8"/>
          <w:rFonts w:hint="default" w:ascii="Times New Roman" w:hAnsi="Times New Roman" w:eastAsia="var(--font-mono)" w:cs="Times New Roman"/>
          <w:b/>
          <w:bCs/>
          <w:color w:val="14181F"/>
          <w:sz w:val="28"/>
          <w:szCs w:val="28"/>
        </w:rPr>
        <w:t>USE CASE #19: Risk Assessment Report</w:t>
      </w:r>
    </w:p>
    <w:p w14:paraId="12BEC884">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45CF9609">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DOMAIN   </w:t>
      </w:r>
      <w:r>
        <w:rPr>
          <w:rStyle w:val="8"/>
          <w:rFonts w:hint="default" w:ascii="Times New Roman" w:hAnsi="Times New Roman" w:eastAsia="var(--font-mono)" w:cs="Times New Roman"/>
          <w:color w:val="14181F"/>
          <w:sz w:val="28"/>
          <w:szCs w:val="28"/>
        </w:rPr>
        <w:t xml:space="preserve"> : Data &amp; Analysis</w:t>
      </w:r>
    </w:p>
    <w:p w14:paraId="6071E155">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TECHNIQUE </w:t>
      </w:r>
      <w:r>
        <w:rPr>
          <w:rStyle w:val="8"/>
          <w:rFonts w:hint="default" w:ascii="Times New Roman" w:hAnsi="Times New Roman" w:eastAsia="var(--font-mono)" w:cs="Times New Roman"/>
          <w:color w:val="14181F"/>
          <w:sz w:val="28"/>
          <w:szCs w:val="28"/>
        </w:rPr>
        <w:t>: Role-Based + Chain-of-Thought + Constraint</w:t>
      </w:r>
    </w:p>
    <w:p w14:paraId="4EFE0EF4">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PURPOSE </w:t>
      </w:r>
      <w:r>
        <w:rPr>
          <w:rStyle w:val="8"/>
          <w:rFonts w:hint="default" w:ascii="Times New Roman" w:hAnsi="Times New Roman" w:eastAsia="var(--font-mono)" w:cs="Times New Roman"/>
          <w:color w:val="14181F"/>
          <w:sz w:val="28"/>
          <w:szCs w:val="28"/>
        </w:rPr>
        <w:t xml:space="preserve">  : Generate structured risk reports for             projects, decisions, or system changes</w:t>
      </w:r>
    </w:p>
    <w:p w14:paraId="2603872A">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25913799">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PROMPT USED:</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"You are a risk analyst at an IT company.A team wants to move all company data to a public cloud provider within 30 days.Analyze this decision step by step:1. Identify top 4 risks2. Rate each: Likelihood (H/M/L) × Impact (H/M/L)3. Suggest one mitigation per risk4. Give overall recommendation: Proceed / Delay / CancelFormat as a risk register table + 2-sentence recommendation."</w:t>
      </w:r>
    </w:p>
    <w:p w14:paraId="73C7CBBF">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0B7982BA">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079C986D">
      <w:pPr>
        <w:pStyle w:val="9"/>
        <w:keepNext w:val="0"/>
        <w:keepLines w:val="0"/>
        <w:widowControl/>
        <w:suppressLineNumbers w:val="0"/>
        <w:rPr>
          <w:rStyle w:val="8"/>
          <w:rFonts w:hint="default" w:ascii="Times New Roman" w:hAnsi="Times New Roman" w:eastAsia="var(--font-mono)" w:cs="Times New Roman"/>
          <w:b/>
          <w:bCs/>
          <w:color w:val="14181F"/>
          <w:sz w:val="28"/>
          <w:szCs w:val="28"/>
          <w:lang w:val="en-US"/>
        </w:rPr>
      </w:pPr>
      <w:r>
        <w:rPr>
          <w:rStyle w:val="8"/>
          <w:rFonts w:hint="default" w:ascii="Times New Roman" w:hAnsi="Times New Roman" w:eastAsia="var(--font-mono)" w:cs="Times New Roman"/>
          <w:b/>
          <w:bCs/>
          <w:color w:val="14181F"/>
          <w:sz w:val="28"/>
          <w:szCs w:val="28"/>
        </w:rPr>
        <w:t>EXAMPLE OUTPUT:</w:t>
      </w:r>
      <w:r>
        <w:rPr>
          <w:rStyle w:val="8"/>
          <w:rFonts w:hint="default" w:ascii="Times New Roman" w:hAnsi="Times New Roman" w:eastAsia="var(--font-mono)" w:cs="Times New Roman"/>
          <w:b/>
          <w:bCs/>
          <w:color w:val="14181F"/>
          <w:sz w:val="28"/>
          <w:szCs w:val="28"/>
          <w:lang w:val="en-US"/>
        </w:rPr>
        <w:t xml:space="preserve"> (Winner - Claude)</w:t>
      </w:r>
    </w:p>
    <w:p w14:paraId="6585317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Cloud Migration Risk Assessment</w:t>
      </w:r>
    </w:p>
    <w:p w14:paraId="044E02DD">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2"/>
          <w:rFonts w:hint="default" w:ascii="Times New Roman" w:hAnsi="Times New Roman" w:cs="Times New Roman"/>
          <w:sz w:val="28"/>
          <w:szCs w:val="28"/>
        </w:rPr>
        <w:t>Scenario:</w:t>
      </w:r>
      <w:r>
        <w:rPr>
          <w:rFonts w:hint="default" w:ascii="Times New Roman" w:hAnsi="Times New Roman" w:cs="Times New Roman"/>
          <w:sz w:val="28"/>
          <w:szCs w:val="28"/>
        </w:rPr>
        <w:t xml:space="preserve"> Full data migration to public cloud | </w:t>
      </w:r>
      <w:r>
        <w:rPr>
          <w:rStyle w:val="12"/>
          <w:rFonts w:hint="default" w:ascii="Times New Roman" w:hAnsi="Times New Roman" w:cs="Times New Roman"/>
          <w:sz w:val="28"/>
          <w:szCs w:val="28"/>
        </w:rPr>
        <w:t>Timeline:</w:t>
      </w:r>
      <w:r>
        <w:rPr>
          <w:rFonts w:hint="default" w:ascii="Times New Roman" w:hAnsi="Times New Roman" w:cs="Times New Roman"/>
          <w:sz w:val="28"/>
          <w:szCs w:val="28"/>
        </w:rPr>
        <w:t xml:space="preserve"> 30 days | </w:t>
      </w:r>
      <w:r>
        <w:rPr>
          <w:rStyle w:val="12"/>
          <w:rFonts w:hint="default" w:ascii="Times New Roman" w:hAnsi="Times New Roman" w:cs="Times New Roman"/>
          <w:sz w:val="28"/>
          <w:szCs w:val="28"/>
        </w:rPr>
        <w:t>Analyst:</w:t>
      </w:r>
      <w:r>
        <w:rPr>
          <w:rFonts w:hint="default" w:ascii="Times New Roman" w:hAnsi="Times New Roman" w:cs="Times New Roman"/>
          <w:sz w:val="28"/>
          <w:szCs w:val="28"/>
        </w:rPr>
        <w:t xml:space="preserve"> IT Risk Division</w:t>
      </w:r>
    </w:p>
    <w:p w14:paraId="47393DF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1BA404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Risk Register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
        <w:gridCol w:w="1507"/>
        <w:gridCol w:w="1777"/>
        <w:gridCol w:w="1352"/>
        <w:gridCol w:w="916"/>
        <w:gridCol w:w="980"/>
        <w:gridCol w:w="1649"/>
      </w:tblGrid>
      <w:tr w14:paraId="18077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90A6D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w:t>
            </w:r>
          </w:p>
        </w:tc>
        <w:tc>
          <w:tcPr>
            <w:tcW w:w="0" w:type="auto"/>
            <w:shd w:val="clear"/>
            <w:vAlign w:val="center"/>
          </w:tcPr>
          <w:p w14:paraId="6F2E7A0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Risk</w:t>
            </w:r>
          </w:p>
        </w:tc>
        <w:tc>
          <w:tcPr>
            <w:tcW w:w="0" w:type="auto"/>
            <w:shd w:val="clear"/>
            <w:vAlign w:val="center"/>
          </w:tcPr>
          <w:p w14:paraId="78683A0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Description</w:t>
            </w:r>
          </w:p>
        </w:tc>
        <w:tc>
          <w:tcPr>
            <w:tcW w:w="0" w:type="auto"/>
            <w:shd w:val="clear"/>
            <w:vAlign w:val="center"/>
          </w:tcPr>
          <w:p w14:paraId="05FDDA6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Likelihood</w:t>
            </w:r>
          </w:p>
        </w:tc>
        <w:tc>
          <w:tcPr>
            <w:tcW w:w="0" w:type="auto"/>
            <w:shd w:val="clear"/>
            <w:vAlign w:val="center"/>
          </w:tcPr>
          <w:p w14:paraId="37E7BB4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Impact</w:t>
            </w:r>
          </w:p>
        </w:tc>
        <w:tc>
          <w:tcPr>
            <w:tcW w:w="0" w:type="auto"/>
            <w:shd w:val="clear"/>
            <w:vAlign w:val="center"/>
          </w:tcPr>
          <w:p w14:paraId="7D019D8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Risk Level</w:t>
            </w:r>
          </w:p>
        </w:tc>
        <w:tc>
          <w:tcPr>
            <w:tcW w:w="0" w:type="auto"/>
            <w:shd w:val="clear"/>
            <w:vAlign w:val="center"/>
          </w:tcPr>
          <w:p w14:paraId="0D3E522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Mitigation Strategy</w:t>
            </w:r>
          </w:p>
        </w:tc>
      </w:tr>
      <w:tr w14:paraId="46BA9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8DB0B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w:t>
            </w:r>
          </w:p>
        </w:tc>
        <w:tc>
          <w:tcPr>
            <w:tcW w:w="0" w:type="auto"/>
            <w:shd w:val="clear"/>
            <w:vAlign w:val="center"/>
          </w:tcPr>
          <w:p w14:paraId="458B2C8A">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Data Security &amp; Breach</w:t>
            </w:r>
          </w:p>
        </w:tc>
        <w:tc>
          <w:tcPr>
            <w:tcW w:w="0" w:type="auto"/>
            <w:shd w:val="clear"/>
            <w:vAlign w:val="center"/>
          </w:tcPr>
          <w:p w14:paraId="35FA507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Rushed migration increases exposure of sensitive data to misconfigured access controls, unsecured endpoints, or incomplete encryption setup</w:t>
            </w:r>
          </w:p>
        </w:tc>
        <w:tc>
          <w:tcPr>
            <w:tcW w:w="0" w:type="auto"/>
            <w:shd w:val="clear"/>
            <w:vAlign w:val="center"/>
          </w:tcPr>
          <w:p w14:paraId="0651192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High</w:t>
            </w:r>
          </w:p>
        </w:tc>
        <w:tc>
          <w:tcPr>
            <w:tcW w:w="0" w:type="auto"/>
            <w:shd w:val="clear"/>
            <w:vAlign w:val="center"/>
          </w:tcPr>
          <w:p w14:paraId="5487AE5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High</w:t>
            </w:r>
          </w:p>
        </w:tc>
        <w:tc>
          <w:tcPr>
            <w:tcW w:w="0" w:type="auto"/>
            <w:shd w:val="clear"/>
            <w:vAlign w:val="center"/>
          </w:tcPr>
          <w:p w14:paraId="41B2093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 </w:t>
            </w:r>
            <w:r>
              <w:rPr>
                <w:rStyle w:val="12"/>
                <w:rFonts w:hint="default" w:ascii="Times New Roman" w:hAnsi="Times New Roman" w:eastAsia="SimSun" w:cs="Times New Roman"/>
                <w:kern w:val="0"/>
                <w:sz w:val="28"/>
                <w:szCs w:val="28"/>
                <w:lang w:val="en-US" w:eastAsia="zh-CN" w:bidi="ar"/>
              </w:rPr>
              <w:t>Critical</w:t>
            </w:r>
          </w:p>
        </w:tc>
        <w:tc>
          <w:tcPr>
            <w:tcW w:w="0" w:type="auto"/>
            <w:shd w:val="clear"/>
            <w:vAlign w:val="center"/>
          </w:tcPr>
          <w:p w14:paraId="5D775C4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Conduct a pre-migration security audit; enforce encryption at rest and in transit; implement Identity &amp; Access Management (IAM) policies before any data is moved</w:t>
            </w:r>
          </w:p>
        </w:tc>
      </w:tr>
      <w:tr w14:paraId="367AF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77563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c>
          <w:tcPr>
            <w:tcW w:w="0" w:type="auto"/>
            <w:shd w:val="clear"/>
            <w:vAlign w:val="center"/>
          </w:tcPr>
          <w:p w14:paraId="36C476E9">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Regulatory Non-Compliance</w:t>
            </w:r>
          </w:p>
        </w:tc>
        <w:tc>
          <w:tcPr>
            <w:tcW w:w="0" w:type="auto"/>
            <w:shd w:val="clear"/>
            <w:vAlign w:val="center"/>
          </w:tcPr>
          <w:p w14:paraId="79AEF8E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Inadequate time to verify that the cloud environment meets GDPR, ISO 27001, or industry-specific data residency requirements</w:t>
            </w:r>
          </w:p>
        </w:tc>
        <w:tc>
          <w:tcPr>
            <w:tcW w:w="0" w:type="auto"/>
            <w:shd w:val="clear"/>
            <w:vAlign w:val="center"/>
          </w:tcPr>
          <w:p w14:paraId="48BD1CF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High</w:t>
            </w:r>
          </w:p>
        </w:tc>
        <w:tc>
          <w:tcPr>
            <w:tcW w:w="0" w:type="auto"/>
            <w:shd w:val="clear"/>
            <w:vAlign w:val="center"/>
          </w:tcPr>
          <w:p w14:paraId="08890F1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High</w:t>
            </w:r>
          </w:p>
        </w:tc>
        <w:tc>
          <w:tcPr>
            <w:tcW w:w="0" w:type="auto"/>
            <w:shd w:val="clear"/>
            <w:vAlign w:val="center"/>
          </w:tcPr>
          <w:p w14:paraId="3855608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 </w:t>
            </w:r>
            <w:r>
              <w:rPr>
                <w:rStyle w:val="12"/>
                <w:rFonts w:hint="default" w:ascii="Times New Roman" w:hAnsi="Times New Roman" w:eastAsia="SimSun" w:cs="Times New Roman"/>
                <w:kern w:val="0"/>
                <w:sz w:val="28"/>
                <w:szCs w:val="28"/>
                <w:lang w:val="en-US" w:eastAsia="zh-CN" w:bidi="ar"/>
              </w:rPr>
              <w:t>Critical</w:t>
            </w:r>
          </w:p>
        </w:tc>
        <w:tc>
          <w:tcPr>
            <w:tcW w:w="0" w:type="auto"/>
            <w:shd w:val="clear"/>
            <w:vAlign w:val="center"/>
          </w:tcPr>
          <w:p w14:paraId="607E597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Engage legal and compliance teams immediately to map all applicable regulations; confirm cloud provider's compliance certifications before migration begins</w:t>
            </w:r>
          </w:p>
        </w:tc>
      </w:tr>
      <w:tr w14:paraId="05AF0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6002A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c>
          <w:tcPr>
            <w:tcW w:w="0" w:type="auto"/>
            <w:shd w:val="clear"/>
            <w:vAlign w:val="center"/>
          </w:tcPr>
          <w:p w14:paraId="1F2E05FB">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Business Continuity Disruption</w:t>
            </w:r>
          </w:p>
        </w:tc>
        <w:tc>
          <w:tcPr>
            <w:tcW w:w="0" w:type="auto"/>
            <w:shd w:val="clear"/>
            <w:vAlign w:val="center"/>
          </w:tcPr>
          <w:p w14:paraId="7803F7D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 30-day timeline leaves insufficient window for testing failover, rollback procedures, or system dependencies — risking downtime during migration</w:t>
            </w:r>
          </w:p>
        </w:tc>
        <w:tc>
          <w:tcPr>
            <w:tcW w:w="0" w:type="auto"/>
            <w:shd w:val="clear"/>
            <w:vAlign w:val="center"/>
          </w:tcPr>
          <w:p w14:paraId="44EE0F1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Medium</w:t>
            </w:r>
          </w:p>
        </w:tc>
        <w:tc>
          <w:tcPr>
            <w:tcW w:w="0" w:type="auto"/>
            <w:shd w:val="clear"/>
            <w:vAlign w:val="center"/>
          </w:tcPr>
          <w:p w14:paraId="57C7A35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High</w:t>
            </w:r>
          </w:p>
        </w:tc>
        <w:tc>
          <w:tcPr>
            <w:tcW w:w="0" w:type="auto"/>
            <w:shd w:val="clear"/>
            <w:vAlign w:val="center"/>
          </w:tcPr>
          <w:p w14:paraId="232E810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 </w:t>
            </w:r>
            <w:r>
              <w:rPr>
                <w:rStyle w:val="12"/>
                <w:rFonts w:hint="default" w:ascii="Times New Roman" w:hAnsi="Times New Roman" w:eastAsia="SimSun" w:cs="Times New Roman"/>
                <w:kern w:val="0"/>
                <w:sz w:val="28"/>
                <w:szCs w:val="28"/>
                <w:lang w:val="en-US" w:eastAsia="zh-CN" w:bidi="ar"/>
              </w:rPr>
              <w:t>High</w:t>
            </w:r>
          </w:p>
        </w:tc>
        <w:tc>
          <w:tcPr>
            <w:tcW w:w="0" w:type="auto"/>
            <w:shd w:val="clear"/>
            <w:vAlign w:val="center"/>
          </w:tcPr>
          <w:p w14:paraId="5D32B3B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Define and test a rollback plan before migration; run a parallel environment for critical systems during the transition period</w:t>
            </w:r>
          </w:p>
        </w:tc>
      </w:tr>
      <w:tr w14:paraId="7B6C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A4F4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c>
          <w:tcPr>
            <w:tcW w:w="0" w:type="auto"/>
            <w:shd w:val="clear"/>
            <w:vAlign w:val="center"/>
          </w:tcPr>
          <w:p w14:paraId="52C020EF">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Data Loss or Corruption</w:t>
            </w:r>
          </w:p>
        </w:tc>
        <w:tc>
          <w:tcPr>
            <w:tcW w:w="0" w:type="auto"/>
            <w:shd w:val="clear"/>
            <w:vAlign w:val="center"/>
          </w:tcPr>
          <w:p w14:paraId="4ED38D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Compressed timelines increase the risk of incomplete transfers, failed validations, or irreversible overwrites with no adequate backup</w:t>
            </w:r>
          </w:p>
        </w:tc>
        <w:tc>
          <w:tcPr>
            <w:tcW w:w="0" w:type="auto"/>
            <w:shd w:val="clear"/>
            <w:vAlign w:val="center"/>
          </w:tcPr>
          <w:p w14:paraId="1519A9C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Medium</w:t>
            </w:r>
          </w:p>
        </w:tc>
        <w:tc>
          <w:tcPr>
            <w:tcW w:w="0" w:type="auto"/>
            <w:shd w:val="clear"/>
            <w:vAlign w:val="center"/>
          </w:tcPr>
          <w:p w14:paraId="3EA2AE3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High</w:t>
            </w:r>
          </w:p>
        </w:tc>
        <w:tc>
          <w:tcPr>
            <w:tcW w:w="0" w:type="auto"/>
            <w:shd w:val="clear"/>
            <w:vAlign w:val="center"/>
          </w:tcPr>
          <w:p w14:paraId="27A9291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 </w:t>
            </w:r>
            <w:r>
              <w:rPr>
                <w:rStyle w:val="12"/>
                <w:rFonts w:hint="default" w:ascii="Times New Roman" w:hAnsi="Times New Roman" w:eastAsia="SimSun" w:cs="Times New Roman"/>
                <w:kern w:val="0"/>
                <w:sz w:val="28"/>
                <w:szCs w:val="28"/>
                <w:lang w:val="en-US" w:eastAsia="zh-CN" w:bidi="ar"/>
              </w:rPr>
              <w:t>High</w:t>
            </w:r>
          </w:p>
        </w:tc>
        <w:tc>
          <w:tcPr>
            <w:tcW w:w="0" w:type="auto"/>
            <w:shd w:val="clear"/>
            <w:vAlign w:val="center"/>
          </w:tcPr>
          <w:p w14:paraId="038F295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Create full verified backups of all data on-premise before migration; implement checksums and automated validation scripts to confirm data integrity post-transfer</w:t>
            </w:r>
          </w:p>
        </w:tc>
      </w:tr>
    </w:tbl>
    <w:p w14:paraId="22D2D59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B83CAD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Risk Level Matrix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5"/>
        <w:gridCol w:w="1451"/>
        <w:gridCol w:w="1876"/>
        <w:gridCol w:w="2764"/>
      </w:tblGrid>
      <w:tr w14:paraId="40E9E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6F1F22">
            <w:pPr>
              <w:jc w:val="center"/>
              <w:rPr>
                <w:rFonts w:hint="default" w:ascii="Times New Roman" w:hAnsi="Times New Roman" w:cs="Times New Roman"/>
                <w:b/>
                <w:bCs/>
                <w:sz w:val="28"/>
                <w:szCs w:val="28"/>
              </w:rPr>
            </w:pPr>
          </w:p>
        </w:tc>
        <w:tc>
          <w:tcPr>
            <w:tcW w:w="0" w:type="auto"/>
            <w:shd w:val="clear"/>
            <w:vAlign w:val="center"/>
          </w:tcPr>
          <w:p w14:paraId="244091F8">
            <w:pPr>
              <w:keepNext w:val="0"/>
              <w:keepLines w:val="0"/>
              <w:widowControl/>
              <w:suppressLineNumbers w:val="0"/>
              <w:jc w:val="center"/>
              <w:rPr>
                <w:rFonts w:hint="default" w:ascii="Times New Roman" w:hAnsi="Times New Roman" w:cs="Times New Roman"/>
                <w:b/>
                <w:bCs/>
                <w:sz w:val="28"/>
                <w:szCs w:val="28"/>
              </w:rPr>
            </w:pPr>
            <w:r>
              <w:rPr>
                <w:rStyle w:val="12"/>
                <w:rFonts w:hint="default" w:ascii="Times New Roman" w:hAnsi="Times New Roman" w:eastAsia="SimSun" w:cs="Times New Roman"/>
                <w:kern w:val="0"/>
                <w:sz w:val="28"/>
                <w:szCs w:val="28"/>
                <w:lang w:val="en-US" w:eastAsia="zh-CN" w:bidi="ar"/>
              </w:rPr>
              <w:t>Low Impact</w:t>
            </w:r>
          </w:p>
        </w:tc>
        <w:tc>
          <w:tcPr>
            <w:tcW w:w="0" w:type="auto"/>
            <w:shd w:val="clear"/>
            <w:vAlign w:val="center"/>
          </w:tcPr>
          <w:p w14:paraId="5E60B7AD">
            <w:pPr>
              <w:keepNext w:val="0"/>
              <w:keepLines w:val="0"/>
              <w:widowControl/>
              <w:suppressLineNumbers w:val="0"/>
              <w:jc w:val="center"/>
              <w:rPr>
                <w:rFonts w:hint="default" w:ascii="Times New Roman" w:hAnsi="Times New Roman" w:cs="Times New Roman"/>
                <w:b/>
                <w:bCs/>
                <w:sz w:val="28"/>
                <w:szCs w:val="28"/>
              </w:rPr>
            </w:pPr>
            <w:r>
              <w:rPr>
                <w:rStyle w:val="12"/>
                <w:rFonts w:hint="default" w:ascii="Times New Roman" w:hAnsi="Times New Roman" w:eastAsia="SimSun" w:cs="Times New Roman"/>
                <w:kern w:val="0"/>
                <w:sz w:val="28"/>
                <w:szCs w:val="28"/>
                <w:lang w:val="en-US" w:eastAsia="zh-CN" w:bidi="ar"/>
              </w:rPr>
              <w:t>Medium Impact</w:t>
            </w:r>
          </w:p>
        </w:tc>
        <w:tc>
          <w:tcPr>
            <w:tcW w:w="0" w:type="auto"/>
            <w:shd w:val="clear"/>
            <w:vAlign w:val="center"/>
          </w:tcPr>
          <w:p w14:paraId="17ECEA16">
            <w:pPr>
              <w:keepNext w:val="0"/>
              <w:keepLines w:val="0"/>
              <w:widowControl/>
              <w:suppressLineNumbers w:val="0"/>
              <w:jc w:val="center"/>
              <w:rPr>
                <w:rFonts w:hint="default" w:ascii="Times New Roman" w:hAnsi="Times New Roman" w:cs="Times New Roman"/>
                <w:b/>
                <w:bCs/>
                <w:sz w:val="28"/>
                <w:szCs w:val="28"/>
              </w:rPr>
            </w:pPr>
            <w:r>
              <w:rPr>
                <w:rStyle w:val="12"/>
                <w:rFonts w:hint="default" w:ascii="Times New Roman" w:hAnsi="Times New Roman" w:eastAsia="SimSun" w:cs="Times New Roman"/>
                <w:kern w:val="0"/>
                <w:sz w:val="28"/>
                <w:szCs w:val="28"/>
                <w:lang w:val="en-US" w:eastAsia="zh-CN" w:bidi="ar"/>
              </w:rPr>
              <w:t>High Impact</w:t>
            </w:r>
          </w:p>
        </w:tc>
      </w:tr>
      <w:tr w14:paraId="396A8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0DC614">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High Likelihood</w:t>
            </w:r>
          </w:p>
        </w:tc>
        <w:tc>
          <w:tcPr>
            <w:tcW w:w="0" w:type="auto"/>
            <w:shd w:val="clear"/>
            <w:vAlign w:val="center"/>
          </w:tcPr>
          <w:p w14:paraId="04F1302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Low</w:t>
            </w:r>
          </w:p>
        </w:tc>
        <w:tc>
          <w:tcPr>
            <w:tcW w:w="0" w:type="auto"/>
            <w:shd w:val="clear"/>
            <w:vAlign w:val="center"/>
          </w:tcPr>
          <w:p w14:paraId="2A93D03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Medium</w:t>
            </w:r>
          </w:p>
        </w:tc>
        <w:tc>
          <w:tcPr>
            <w:tcW w:w="0" w:type="auto"/>
            <w:shd w:val="clear"/>
            <w:vAlign w:val="center"/>
          </w:tcPr>
          <w:p w14:paraId="2679E33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 </w:t>
            </w:r>
            <w:r>
              <w:rPr>
                <w:rStyle w:val="12"/>
                <w:rFonts w:hint="default" w:ascii="Times New Roman" w:hAnsi="Times New Roman" w:eastAsia="SimSun" w:cs="Times New Roman"/>
                <w:kern w:val="0"/>
                <w:sz w:val="28"/>
                <w:szCs w:val="28"/>
                <w:lang w:val="en-US" w:eastAsia="zh-CN" w:bidi="ar"/>
              </w:rPr>
              <w:t>Critical</w:t>
            </w:r>
            <w:r>
              <w:rPr>
                <w:rFonts w:hint="default" w:ascii="Times New Roman" w:hAnsi="Times New Roman" w:eastAsia="SimSun" w:cs="Times New Roman"/>
                <w:kern w:val="0"/>
                <w:sz w:val="28"/>
                <w:szCs w:val="28"/>
                <w:lang w:val="en-US" w:eastAsia="zh-CN" w:bidi="ar"/>
              </w:rPr>
              <w:t xml:space="preserve"> ← Risks 1 &amp; 2</w:t>
            </w:r>
          </w:p>
        </w:tc>
      </w:tr>
      <w:tr w14:paraId="7EC83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137611">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Medium Likelihood</w:t>
            </w:r>
          </w:p>
        </w:tc>
        <w:tc>
          <w:tcPr>
            <w:tcW w:w="0" w:type="auto"/>
            <w:shd w:val="clear"/>
            <w:vAlign w:val="center"/>
          </w:tcPr>
          <w:p w14:paraId="5EBA3E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Minimal</w:t>
            </w:r>
          </w:p>
        </w:tc>
        <w:tc>
          <w:tcPr>
            <w:tcW w:w="0" w:type="auto"/>
            <w:shd w:val="clear"/>
            <w:vAlign w:val="center"/>
          </w:tcPr>
          <w:p w14:paraId="341AE4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Low</w:t>
            </w:r>
          </w:p>
        </w:tc>
        <w:tc>
          <w:tcPr>
            <w:tcW w:w="0" w:type="auto"/>
            <w:shd w:val="clear"/>
            <w:vAlign w:val="center"/>
          </w:tcPr>
          <w:p w14:paraId="13DAC07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 </w:t>
            </w:r>
            <w:r>
              <w:rPr>
                <w:rStyle w:val="12"/>
                <w:rFonts w:hint="default" w:ascii="Times New Roman" w:hAnsi="Times New Roman" w:eastAsia="SimSun" w:cs="Times New Roman"/>
                <w:kern w:val="0"/>
                <w:sz w:val="28"/>
                <w:szCs w:val="28"/>
                <w:lang w:val="en-US" w:eastAsia="zh-CN" w:bidi="ar"/>
              </w:rPr>
              <w:t>High</w:t>
            </w:r>
            <w:r>
              <w:rPr>
                <w:rFonts w:hint="default" w:ascii="Times New Roman" w:hAnsi="Times New Roman" w:eastAsia="SimSun" w:cs="Times New Roman"/>
                <w:kern w:val="0"/>
                <w:sz w:val="28"/>
                <w:szCs w:val="28"/>
                <w:lang w:val="en-US" w:eastAsia="zh-CN" w:bidi="ar"/>
              </w:rPr>
              <w:t xml:space="preserve"> ← Risks 3 &amp; 4</w:t>
            </w:r>
          </w:p>
        </w:tc>
      </w:tr>
      <w:tr w14:paraId="0F901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A2B24F">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Low Likelihood</w:t>
            </w:r>
          </w:p>
        </w:tc>
        <w:tc>
          <w:tcPr>
            <w:tcW w:w="0" w:type="auto"/>
            <w:shd w:val="clear"/>
            <w:vAlign w:val="center"/>
          </w:tcPr>
          <w:p w14:paraId="2A940CE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Minimal</w:t>
            </w:r>
          </w:p>
        </w:tc>
        <w:tc>
          <w:tcPr>
            <w:tcW w:w="0" w:type="auto"/>
            <w:shd w:val="clear"/>
            <w:vAlign w:val="center"/>
          </w:tcPr>
          <w:p w14:paraId="6919610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Minimal</w:t>
            </w:r>
          </w:p>
        </w:tc>
        <w:tc>
          <w:tcPr>
            <w:tcW w:w="0" w:type="auto"/>
            <w:shd w:val="clear"/>
            <w:vAlign w:val="center"/>
          </w:tcPr>
          <w:p w14:paraId="0AA0450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Low</w:t>
            </w:r>
          </w:p>
        </w:tc>
      </w:tr>
    </w:tbl>
    <w:p w14:paraId="5767BBF7">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74CCDF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Overall Recommendation: </w:t>
      </w:r>
      <w:r>
        <w:rPr>
          <w:rStyle w:val="12"/>
          <w:rFonts w:hint="default" w:ascii="Times New Roman" w:hAnsi="Times New Roman" w:cs="Times New Roman"/>
          <w:b/>
          <w:bCs/>
          <w:sz w:val="28"/>
          <w:szCs w:val="28"/>
        </w:rPr>
        <w:t>DELAY</w:t>
      </w:r>
    </w:p>
    <w:p w14:paraId="3B9FA6C9">
      <w:pPr>
        <w:pStyle w:val="11"/>
        <w:keepNext w:val="0"/>
        <w:keepLines w:val="0"/>
        <w:widowControl/>
        <w:suppressLineNumbers w:val="0"/>
        <w:spacing w:before="0" w:beforeAutospacing="1" w:after="0" w:afterAutospacing="1"/>
        <w:ind w:right="720"/>
        <w:rPr>
          <w:rFonts w:hint="default" w:ascii="Times New Roman" w:hAnsi="Times New Roman" w:cs="Times New Roman"/>
          <w:sz w:val="28"/>
          <w:szCs w:val="28"/>
        </w:rPr>
      </w:pPr>
      <w:r>
        <w:rPr>
          <w:rFonts w:hint="default" w:ascii="Times New Roman" w:hAnsi="Times New Roman" w:cs="Times New Roman"/>
          <w:sz w:val="28"/>
          <w:szCs w:val="28"/>
        </w:rPr>
        <w:t>The 30-day timeline introduces two Critical-rated risks — data security exposure and regulatory non-compliance — neither of which can be adequately mitigated at this pace without significant organisational risk. A revised 90-day phased migration plan, beginning with non-sensitive workloads and incorporating proper compliance validation and security hardening, is strongly recommended before any production data is moved to the cloud.</w:t>
      </w:r>
    </w:p>
    <w:p w14:paraId="514E490F">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3103478F">
      <w:pPr>
        <w:keepNext w:val="0"/>
        <w:keepLines w:val="0"/>
        <w:widowControl/>
        <w:suppressLineNumbers w:val="0"/>
        <w:rPr>
          <w:rStyle w:val="8"/>
          <w:rFonts w:hint="default" w:ascii="Times New Roman" w:hAnsi="Times New Roman" w:eastAsia="var(--font-mono)"/>
          <w:b/>
          <w:bCs/>
          <w:color w:val="14181F"/>
          <w:sz w:val="28"/>
          <w:szCs w:val="28"/>
        </w:rPr>
      </w:pPr>
      <w:r>
        <w:rPr>
          <w:rStyle w:val="8"/>
          <w:rFonts w:hint="default" w:ascii="Times New Roman" w:hAnsi="Times New Roman" w:eastAsia="var(--font-mono)"/>
          <w:b/>
          <w:bCs/>
          <w:color w:val="14181F"/>
          <w:sz w:val="28"/>
          <w:szCs w:val="28"/>
        </w:rPr>
        <w:t>RATINGS (out of 5):</w:t>
      </w:r>
    </w:p>
    <w:p w14:paraId="434E3381">
      <w:pPr>
        <w:keepNext w:val="0"/>
        <w:keepLines w:val="0"/>
        <w:widowControl/>
        <w:suppressLineNumbers w:val="0"/>
        <w:rPr>
          <w:rStyle w:val="8"/>
          <w:rFonts w:hint="default" w:ascii="Times New Roman" w:hAnsi="Times New Roman" w:eastAsia="var(--font-mono)"/>
          <w:color w:val="14181F"/>
          <w:sz w:val="28"/>
          <w:szCs w:val="28"/>
        </w:rPr>
      </w:pPr>
    </w:p>
    <w:p w14:paraId="70F5DBC2">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Gemini  → Accuracy: 4 | Clarity: 4 | Relevance: 3 | Overall: 3.7</w:t>
      </w:r>
    </w:p>
    <w:p w14:paraId="18156464">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ChatGPT → Accuracy: 4 | Clarity: 4 | Relevance: 4 | Overall: 4.0</w:t>
      </w:r>
    </w:p>
    <w:p w14:paraId="0772868D">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Claude  → Accuracy: 5 | Clarity: 5 | Relevance: 5 | Overall: 5.0</w:t>
      </w:r>
    </w:p>
    <w:p w14:paraId="0FA1DF90">
      <w:pPr>
        <w:keepNext w:val="0"/>
        <w:keepLines w:val="0"/>
        <w:widowControl/>
        <w:suppressLineNumbers w:val="0"/>
        <w:rPr>
          <w:rStyle w:val="8"/>
          <w:rFonts w:hint="default" w:ascii="Times New Roman" w:hAnsi="Times New Roman" w:eastAsia="var(--font-mono)"/>
          <w:color w:val="14181F"/>
          <w:sz w:val="28"/>
          <w:szCs w:val="28"/>
        </w:rPr>
      </w:pPr>
    </w:p>
    <w:p w14:paraId="1CCC1AD5">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WINNER:</w:t>
      </w:r>
      <w:r>
        <w:rPr>
          <w:rStyle w:val="8"/>
          <w:rFonts w:hint="default" w:ascii="Times New Roman" w:hAnsi="Times New Roman" w:eastAsia="var(--font-mono)"/>
          <w:color w:val="14181F"/>
          <w:sz w:val="28"/>
          <w:szCs w:val="28"/>
        </w:rPr>
        <w:t xml:space="preserve"> Claude</w:t>
      </w:r>
    </w:p>
    <w:p w14:paraId="00533AC6">
      <w:pPr>
        <w:keepNext w:val="0"/>
        <w:keepLines w:val="0"/>
        <w:widowControl/>
        <w:suppressLineNumbers w:val="0"/>
        <w:rPr>
          <w:rStyle w:val="8"/>
          <w:rFonts w:hint="default" w:ascii="Times New Roman" w:hAnsi="Times New Roman" w:eastAsia="var(--font-mono)"/>
          <w:color w:val="14181F"/>
          <w:sz w:val="28"/>
          <w:szCs w:val="28"/>
        </w:rPr>
      </w:pPr>
    </w:p>
    <w:p w14:paraId="51263C8C">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LEARNING:</w:t>
      </w:r>
      <w:r>
        <w:rPr>
          <w:rStyle w:val="8"/>
          <w:rFonts w:hint="default" w:ascii="Times New Roman" w:hAnsi="Times New Roman" w:eastAsia="var(--font-mono)"/>
          <w:color w:val="14181F"/>
          <w:sz w:val="28"/>
          <w:szCs w:val="28"/>
        </w:rPr>
        <w:t xml:space="preserve"> Risk register prompts reward models that add a Risk Level column (Critical / High / Medium) derived from the Likelihood × Impact matrix — this computed severity score is what real risk analysts use to prioritize mitigations. Claude is the only model that built a Risk Level Matrix showing where each risk sits visually, which transforms a table into a decision-making tool.</w:t>
      </w:r>
    </w:p>
    <w:p w14:paraId="0F62579D">
      <w:pPr>
        <w:keepNext w:val="0"/>
        <w:keepLines w:val="0"/>
        <w:widowControl/>
        <w:suppressLineNumbers w:val="0"/>
        <w:rPr>
          <w:rStyle w:val="8"/>
          <w:rFonts w:hint="default" w:ascii="Times New Roman" w:hAnsi="Times New Roman" w:eastAsia="var(--font-mono)"/>
          <w:color w:val="14181F"/>
          <w:sz w:val="28"/>
          <w:szCs w:val="28"/>
        </w:rPr>
      </w:pPr>
    </w:p>
    <w:p w14:paraId="63C81FF6">
      <w:pPr>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eastAsia="var(--font-mono)"/>
          <w:b/>
          <w:bCs/>
          <w:color w:val="14181F"/>
          <w:sz w:val="28"/>
          <w:szCs w:val="28"/>
        </w:rPr>
        <w:t>REASON FOR WINNER</w:t>
      </w:r>
      <w:r>
        <w:rPr>
          <w:rStyle w:val="8"/>
          <w:rFonts w:hint="default" w:ascii="Times New Roman" w:hAnsi="Times New Roman" w:eastAsia="var(--font-mono)"/>
          <w:color w:val="14181F"/>
          <w:sz w:val="28"/>
          <w:szCs w:val="28"/>
        </w:rPr>
        <w:t>: Claude is the only model that calculated a composite Risk Level (Critical / High) from Likelihood × Impact, included a standalone Risk Level Matrix for visual reference, used color-coded indicators (🔴🟠🟡) for instant severity scanning, and wrote a two-sentence recommendation that named specific risks by level and proposed a concrete 90-day phased alternative — exactly what a C-suite risk report requires. Gemini added an unrequested roadmap offer. ChatGPT's table was clean but missing the Risk Level column, making it harder for leadership to prioritize without additional interpretation.</w:t>
      </w:r>
      <w:r>
        <w:rPr>
          <w:rFonts w:hint="default" w:ascii="Times New Roman" w:hAnsi="Times New Roman" w:eastAsia="var(--font-mono)" w:cs="Times New Roman"/>
          <w:color w:val="14181F"/>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49CAB7E">
      <w:pPr>
        <w:pStyle w:val="9"/>
        <w:keepNext w:val="0"/>
        <w:keepLines w:val="0"/>
        <w:widowControl/>
        <w:suppressLineNumbers w:val="0"/>
        <w:rPr>
          <w:rStyle w:val="8"/>
          <w:rFonts w:hint="default" w:ascii="Times New Roman" w:hAnsi="Times New Roman" w:eastAsia="var(--font-mono)" w:cs="Times New Roman"/>
          <w:b/>
          <w:bCs/>
          <w:color w:val="14181F"/>
          <w:sz w:val="28"/>
          <w:szCs w:val="28"/>
        </w:rPr>
      </w:pPr>
      <w:r>
        <w:rPr>
          <w:rStyle w:val="8"/>
          <w:rFonts w:hint="default" w:ascii="Times New Roman" w:hAnsi="Times New Roman" w:eastAsia="var(--font-mono)" w:cs="Times New Roman"/>
          <w:b/>
          <w:bCs/>
          <w:color w:val="14181F"/>
          <w:sz w:val="28"/>
          <w:szCs w:val="28"/>
        </w:rPr>
        <w:t>USE CASE #20: Competitive Analysis Summary</w:t>
      </w:r>
    </w:p>
    <w:p w14:paraId="1F2761BC">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3C3281A9">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DOMAIN   </w:t>
      </w:r>
      <w:r>
        <w:rPr>
          <w:rStyle w:val="8"/>
          <w:rFonts w:hint="default" w:ascii="Times New Roman" w:hAnsi="Times New Roman" w:eastAsia="var(--font-mono)" w:cs="Times New Roman"/>
          <w:color w:val="14181F"/>
          <w:sz w:val="28"/>
          <w:szCs w:val="28"/>
        </w:rPr>
        <w:t xml:space="preserve"> : Data &amp; Analysis</w:t>
      </w:r>
    </w:p>
    <w:p w14:paraId="341DF1E1">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TECHNIQUE </w:t>
      </w:r>
      <w:r>
        <w:rPr>
          <w:rStyle w:val="8"/>
          <w:rFonts w:hint="default" w:ascii="Times New Roman" w:hAnsi="Times New Roman" w:eastAsia="var(--font-mono)" w:cs="Times New Roman"/>
          <w:color w:val="14181F"/>
          <w:sz w:val="28"/>
          <w:szCs w:val="28"/>
        </w:rPr>
        <w:t>: Few-Shot + Role-Based + Constraint</w:t>
      </w:r>
    </w:p>
    <w:p w14:paraId="06B37F2F">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 xml:space="preserve">PURPOSE  </w:t>
      </w:r>
      <w:r>
        <w:rPr>
          <w:rStyle w:val="8"/>
          <w:rFonts w:hint="default" w:ascii="Times New Roman" w:hAnsi="Times New Roman" w:eastAsia="var(--font-mono)" w:cs="Times New Roman"/>
          <w:color w:val="14181F"/>
          <w:sz w:val="28"/>
          <w:szCs w:val="28"/>
        </w:rPr>
        <w:t xml:space="preserve"> : Summarize competitor landscape for business             strategy, presentations, or client proposals</w:t>
      </w:r>
    </w:p>
    <w:p w14:paraId="48BF1FF5">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73635F3E">
      <w:pPr>
        <w:pStyle w:val="9"/>
        <w:keepNext w:val="0"/>
        <w:keepLines w:val="0"/>
        <w:widowControl/>
        <w:suppressLineNumbers w:val="0"/>
        <w:rPr>
          <w:rStyle w:val="8"/>
          <w:rFonts w:hint="default" w:ascii="Times New Roman" w:hAnsi="Times New Roman" w:eastAsia="var(--font-mono)" w:cs="Times New Roman"/>
          <w:color w:val="14181F"/>
          <w:sz w:val="28"/>
          <w:szCs w:val="28"/>
        </w:rPr>
      </w:pPr>
      <w:r>
        <w:rPr>
          <w:rStyle w:val="8"/>
          <w:rFonts w:hint="default" w:ascii="Times New Roman" w:hAnsi="Times New Roman" w:eastAsia="var(--font-mono)" w:cs="Times New Roman"/>
          <w:b/>
          <w:bCs/>
          <w:color w:val="14181F"/>
          <w:sz w:val="28"/>
          <w:szCs w:val="28"/>
        </w:rPr>
        <w:t>PROMPT USED:</w:t>
      </w:r>
      <w:r>
        <w:rPr>
          <w:rStyle w:val="8"/>
          <w:rFonts w:hint="default" w:ascii="Times New Roman" w:hAnsi="Times New Roman" w:eastAsia="var(--font-mono)" w:cs="Times New Roman"/>
          <w:color w:val="14181F"/>
          <w:sz w:val="28"/>
          <w:szCs w:val="28"/>
          <w:lang w:val="en-US"/>
        </w:rPr>
        <w:t xml:space="preserve"> </w:t>
      </w:r>
      <w:r>
        <w:rPr>
          <w:rStyle w:val="8"/>
          <w:rFonts w:hint="default" w:ascii="Times New Roman" w:hAnsi="Times New Roman" w:eastAsia="var(--font-mono)" w:cs="Times New Roman"/>
          <w:color w:val="14181F"/>
          <w:sz w:val="28"/>
          <w:szCs w:val="28"/>
        </w:rPr>
        <w:t>"You are a business analyst preparing a competitive summary for a leadership meeting.Compare these 3 AI chatbot products for enterprise use:ChatGPT (OpenAI), Claude (Anthropic), Gemini (Google)Evaluate on 5 criteria:- Reasoning Ability- Safety &amp; Reliability- Integration Ecosystem- Pricing Model- Best Use CaseFormat: Comparison table + 3-sentence executive summary.Audience: Non-technical senior leadership."</w:t>
      </w:r>
    </w:p>
    <w:p w14:paraId="2832C8E9">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0D3F203E">
      <w:pPr>
        <w:pStyle w:val="9"/>
        <w:keepNext w:val="0"/>
        <w:keepLines w:val="0"/>
        <w:widowControl/>
        <w:suppressLineNumbers w:val="0"/>
        <w:rPr>
          <w:rStyle w:val="8"/>
          <w:rFonts w:hint="default" w:ascii="Times New Roman" w:hAnsi="Times New Roman" w:eastAsia="var(--font-mono)" w:cs="Times New Roman"/>
          <w:b/>
          <w:bCs/>
          <w:color w:val="14181F"/>
          <w:sz w:val="28"/>
          <w:szCs w:val="28"/>
        </w:rPr>
      </w:pPr>
      <w:r>
        <w:rPr>
          <w:rStyle w:val="8"/>
          <w:rFonts w:hint="default" w:ascii="Times New Roman" w:hAnsi="Times New Roman" w:eastAsia="var(--font-mono)" w:cs="Times New Roman"/>
          <w:b/>
          <w:bCs/>
          <w:color w:val="14181F"/>
          <w:sz w:val="28"/>
          <w:szCs w:val="28"/>
        </w:rPr>
        <w:t>EXAMPLE OUTPUT:</w:t>
      </w:r>
    </w:p>
    <w:p w14:paraId="506F9622">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61BB125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Enterprise AI Chatbot Competitive Summary</w:t>
      </w:r>
    </w:p>
    <w:p w14:paraId="4235D623">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12"/>
          <w:rFonts w:hint="default" w:ascii="Times New Roman" w:hAnsi="Times New Roman" w:cs="Times New Roman"/>
          <w:sz w:val="28"/>
          <w:szCs w:val="28"/>
        </w:rPr>
        <w:t>Prepared for:</w:t>
      </w:r>
      <w:r>
        <w:rPr>
          <w:rFonts w:hint="default" w:ascii="Times New Roman" w:hAnsi="Times New Roman" w:cs="Times New Roman"/>
          <w:sz w:val="28"/>
          <w:szCs w:val="28"/>
        </w:rPr>
        <w:t xml:space="preserve"> Senior Leadership | </w:t>
      </w:r>
      <w:r>
        <w:rPr>
          <w:rStyle w:val="12"/>
          <w:rFonts w:hint="default" w:ascii="Times New Roman" w:hAnsi="Times New Roman" w:cs="Times New Roman"/>
          <w:sz w:val="28"/>
          <w:szCs w:val="28"/>
        </w:rPr>
        <w:t>Analyst:</w:t>
      </w:r>
      <w:r>
        <w:rPr>
          <w:rFonts w:hint="default" w:ascii="Times New Roman" w:hAnsi="Times New Roman" w:cs="Times New Roman"/>
          <w:sz w:val="28"/>
          <w:szCs w:val="28"/>
        </w:rPr>
        <w:t xml:space="preserve"> Business Analysis Division | </w:t>
      </w:r>
      <w:r>
        <w:rPr>
          <w:rStyle w:val="12"/>
          <w:rFonts w:hint="default" w:ascii="Times New Roman" w:hAnsi="Times New Roman" w:cs="Times New Roman"/>
          <w:sz w:val="28"/>
          <w:szCs w:val="28"/>
        </w:rPr>
        <w:t>Date:</w:t>
      </w:r>
      <w:r>
        <w:rPr>
          <w:rFonts w:hint="default" w:ascii="Times New Roman" w:hAnsi="Times New Roman" w:cs="Times New Roman"/>
          <w:sz w:val="28"/>
          <w:szCs w:val="28"/>
        </w:rPr>
        <w:t xml:space="preserve"> February 2026</w:t>
      </w:r>
    </w:p>
    <w:p w14:paraId="000CEFB5">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0AD3A6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Comparison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1"/>
        <w:gridCol w:w="2330"/>
        <w:gridCol w:w="2314"/>
        <w:gridCol w:w="2291"/>
      </w:tblGrid>
      <w:tr w14:paraId="3A3AE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B1AEF1">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Criteria</w:t>
            </w:r>
          </w:p>
        </w:tc>
        <w:tc>
          <w:tcPr>
            <w:tcW w:w="0" w:type="auto"/>
            <w:shd w:val="clear"/>
            <w:vAlign w:val="center"/>
          </w:tcPr>
          <w:p w14:paraId="0778058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ChatGPT (OpenAI)</w:t>
            </w:r>
          </w:p>
        </w:tc>
        <w:tc>
          <w:tcPr>
            <w:tcW w:w="0" w:type="auto"/>
            <w:shd w:val="clear"/>
            <w:vAlign w:val="center"/>
          </w:tcPr>
          <w:p w14:paraId="1707A77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Claude (Anthropic)</w:t>
            </w:r>
          </w:p>
        </w:tc>
        <w:tc>
          <w:tcPr>
            <w:tcW w:w="0" w:type="auto"/>
            <w:shd w:val="clear"/>
            <w:vAlign w:val="center"/>
          </w:tcPr>
          <w:p w14:paraId="1091801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Gemini (Google)</w:t>
            </w:r>
          </w:p>
        </w:tc>
      </w:tr>
      <w:tr w14:paraId="40EAC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44570E">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Reasoning Ability</w:t>
            </w:r>
          </w:p>
        </w:tc>
        <w:tc>
          <w:tcPr>
            <w:tcW w:w="0" w:type="auto"/>
            <w:shd w:val="clear"/>
            <w:vAlign w:val="center"/>
          </w:tcPr>
          <w:p w14:paraId="10B2007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Excellent at multi-step logic, structured analysis, and complex workflows. Industry-leading consistency across tasks.</w:t>
            </w:r>
          </w:p>
        </w:tc>
        <w:tc>
          <w:tcPr>
            <w:tcW w:w="0" w:type="auto"/>
            <w:shd w:val="clear"/>
            <w:vAlign w:val="center"/>
          </w:tcPr>
          <w:p w14:paraId="0D14572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Exceptional at nuanced reasoning, long documents, and complex writing. Particularly strong at following precise instructions.</w:t>
            </w:r>
          </w:p>
        </w:tc>
        <w:tc>
          <w:tcPr>
            <w:tcW w:w="0" w:type="auto"/>
            <w:shd w:val="clear"/>
            <w:vAlign w:val="center"/>
          </w:tcPr>
          <w:p w14:paraId="3705991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Strong reasoning, especially for research-heavy and multimodal tasks (text + images + video). Slightly less consistent on deep logic chains.</w:t>
            </w:r>
          </w:p>
        </w:tc>
      </w:tr>
      <w:tr w14:paraId="5A3B9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4B46E9">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Safety &amp; Reliability</w:t>
            </w:r>
          </w:p>
        </w:tc>
        <w:tc>
          <w:tcPr>
            <w:tcW w:w="0" w:type="auto"/>
            <w:shd w:val="clear"/>
            <w:vAlign w:val="center"/>
          </w:tcPr>
          <w:p w14:paraId="2A17353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Solid safety guardrails. Paid tiers do not use data for model training. Some past inconsistency in output reliability.</w:t>
            </w:r>
          </w:p>
        </w:tc>
        <w:tc>
          <w:tcPr>
            <w:tcW w:w="0" w:type="auto"/>
            <w:shd w:val="clear"/>
            <w:vAlign w:val="center"/>
          </w:tcPr>
          <w:p w14:paraId="00BB4CB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Safety is Anthropic's founding mission. Industry-leading approach to responsible AI. Enterprise data never used for model training.</w:t>
            </w:r>
          </w:p>
        </w:tc>
        <w:tc>
          <w:tcPr>
            <w:tcW w:w="0" w:type="auto"/>
            <w:shd w:val="clear"/>
            <w:vAlign w:val="center"/>
          </w:tcPr>
          <w:p w14:paraId="155F218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Enterprise-grade privacy within Google Workspace. Free tier does not guarantee full regulatory compliance; paid plans required for GDPR/HIPAA.</w:t>
            </w:r>
          </w:p>
        </w:tc>
      </w:tr>
      <w:tr w14:paraId="717CB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C72DC2">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Integration Ecosystem</w:t>
            </w:r>
          </w:p>
        </w:tc>
        <w:tc>
          <w:tcPr>
            <w:tcW w:w="0" w:type="auto"/>
            <w:shd w:val="clear"/>
            <w:vAlign w:val="center"/>
          </w:tcPr>
          <w:p w14:paraId="680146B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Most mature ecosystem. Deep integrations with Microsoft 365, GitHub Copilot, Zapier, Notion, and thousands of third-party apps via API.</w:t>
            </w:r>
          </w:p>
        </w:tc>
        <w:tc>
          <w:tcPr>
            <w:tcW w:w="0" w:type="auto"/>
            <w:shd w:val="clear"/>
            <w:vAlign w:val="center"/>
          </w:tcPr>
          <w:p w14:paraId="228C8B3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Strong API ecosystem. Integrates with Slack, Jira, Confluence, Microsoft 365, Google Drive, and AWS. Growing rapidly.</w:t>
            </w:r>
          </w:p>
        </w:tc>
        <w:tc>
          <w:tcPr>
            <w:tcW w:w="0" w:type="auto"/>
            <w:shd w:val="clear"/>
            <w:vAlign w:val="center"/>
          </w:tcPr>
          <w:p w14:paraId="12C402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Native integration across all Google Workspace tools (Gmail, Docs, Sheets, Drive). Ideal for Google Cloud environments.</w:t>
            </w:r>
          </w:p>
        </w:tc>
      </w:tr>
      <w:tr w14:paraId="0F826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DA5F37">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Pricing Model</w:t>
            </w:r>
          </w:p>
        </w:tc>
        <w:tc>
          <w:tcPr>
            <w:tcW w:w="0" w:type="auto"/>
            <w:shd w:val="clear"/>
            <w:vAlign w:val="center"/>
          </w:tcPr>
          <w:p w14:paraId="64EBAD2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Team: ~$25/user/month. Enterprise: Custom pricing. Most mature volume negotiation track record.</w:t>
            </w:r>
          </w:p>
        </w:tc>
        <w:tc>
          <w:tcPr>
            <w:tcW w:w="0" w:type="auto"/>
            <w:shd w:val="clear"/>
            <w:vAlign w:val="center"/>
          </w:tcPr>
          <w:p w14:paraId="361FD81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Team: ~$25/user/month. Enterprise: Custom pricing, sold via direct sales or AWS Marketplace. </w:t>
            </w: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"https://claude.com/pricing" \t "_blank" </w:instrText>
            </w:r>
            <w:r>
              <w:rPr>
                <w:rFonts w:hint="default" w:ascii="Times New Roman" w:hAnsi="Times New Roman" w:eastAsia="SimSun" w:cs="Times New Roman"/>
                <w:kern w:val="0"/>
                <w:sz w:val="28"/>
                <w:szCs w:val="28"/>
                <w:lang w:val="en-US" w:eastAsia="zh-CN" w:bidi="ar"/>
              </w:rPr>
              <w:fldChar w:fldCharType="separate"/>
            </w:r>
            <w:r>
              <w:rPr>
                <w:rStyle w:val="10"/>
                <w:rFonts w:hint="default" w:ascii="Times New Roman" w:hAnsi="Times New Roman" w:eastAsia="SimSun" w:cs="Times New Roman"/>
                <w:sz w:val="28"/>
                <w:szCs w:val="28"/>
              </w:rPr>
              <w:t>Claude</w:t>
            </w:r>
            <w:r>
              <w:rPr>
                <w:rFonts w:hint="default" w:ascii="Times New Roman" w:hAnsi="Times New Roman" w:eastAsia="SimSun" w:cs="Times New Roman"/>
                <w:kern w:val="0"/>
                <w:sz w:val="28"/>
                <w:szCs w:val="28"/>
                <w:lang w:val="en-US" w:eastAsia="zh-CN" w:bidi="ar"/>
              </w:rPr>
              <w:fldChar w:fldCharType="end"/>
            </w:r>
            <w:r>
              <w:rPr>
                <w:rFonts w:hint="default" w:ascii="Times New Roman" w:hAnsi="Times New Roman" w:eastAsia="SimSun" w:cs="Times New Roman"/>
                <w:kern w:val="0"/>
                <w:sz w:val="28"/>
                <w:szCs w:val="28"/>
                <w:lang w:val="en-US" w:eastAsia="zh-CN" w:bidi="ar"/>
              </w:rPr>
              <w:t xml:space="preserve"> Competitive API rates.</w:t>
            </w:r>
          </w:p>
        </w:tc>
        <w:tc>
          <w:tcPr>
            <w:tcW w:w="0" w:type="auto"/>
            <w:shd w:val="clear"/>
            <w:vAlign w:val="center"/>
          </w:tcPr>
          <w:p w14:paraId="1309102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Gemini Enterprise: ~$30/user/month </w:t>
            </w: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"https://intuitionlabs.ai/articles/ai-api-pricing-comparison-grok-gemini-openai-claude" \t "_blank" </w:instrText>
            </w:r>
            <w:r>
              <w:rPr>
                <w:rFonts w:hint="default" w:ascii="Times New Roman" w:hAnsi="Times New Roman" w:eastAsia="SimSun" w:cs="Times New Roman"/>
                <w:kern w:val="0"/>
                <w:sz w:val="28"/>
                <w:szCs w:val="28"/>
                <w:lang w:val="en-US" w:eastAsia="zh-CN" w:bidi="ar"/>
              </w:rPr>
              <w:fldChar w:fldCharType="separate"/>
            </w:r>
            <w:r>
              <w:rPr>
                <w:rStyle w:val="10"/>
                <w:rFonts w:hint="default" w:ascii="Times New Roman" w:hAnsi="Times New Roman" w:eastAsia="SimSun" w:cs="Times New Roman"/>
                <w:sz w:val="28"/>
                <w:szCs w:val="28"/>
              </w:rPr>
              <w:t>IntuitionLabs</w:t>
            </w:r>
            <w:r>
              <w:rPr>
                <w:rFonts w:hint="default" w:ascii="Times New Roman" w:hAnsi="Times New Roman" w:eastAsia="SimSun" w:cs="Times New Roman"/>
                <w:kern w:val="0"/>
                <w:sz w:val="28"/>
                <w:szCs w:val="28"/>
                <w:lang w:val="en-US" w:eastAsia="zh-CN" w:bidi="ar"/>
              </w:rPr>
              <w:fldChar w:fldCharType="end"/>
            </w:r>
            <w:r>
              <w:rPr>
                <w:rFonts w:hint="default" w:ascii="Times New Roman" w:hAnsi="Times New Roman" w:eastAsia="SimSun" w:cs="Times New Roman"/>
                <w:kern w:val="0"/>
                <w:sz w:val="28"/>
                <w:szCs w:val="28"/>
                <w:lang w:val="en-US" w:eastAsia="zh-CN" w:bidi="ar"/>
              </w:rPr>
              <w:t>, bundled with Google Workspace add-ons. Custom enterprise contracts available.</w:t>
            </w:r>
          </w:p>
        </w:tc>
      </w:tr>
      <w:tr w14:paraId="113D0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F8AF24">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Best Enterprise Use Case</w:t>
            </w:r>
          </w:p>
        </w:tc>
        <w:tc>
          <w:tcPr>
            <w:tcW w:w="0" w:type="auto"/>
            <w:shd w:val="clear"/>
            <w:vAlign w:val="center"/>
          </w:tcPr>
          <w:p w14:paraId="403D9CA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Versatile all-rounder. Best for organisations needing broad task coverage — content, coding, analysis, and customer support.</w:t>
            </w:r>
          </w:p>
        </w:tc>
        <w:tc>
          <w:tcPr>
            <w:tcW w:w="0" w:type="auto"/>
            <w:shd w:val="clear"/>
            <w:vAlign w:val="center"/>
          </w:tcPr>
          <w:p w14:paraId="2790AC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Best for compliance-sensitive industries (legal, finance, healthcare) requiring safe, precise, long-document reasoning and high-trust AI.</w:t>
            </w:r>
          </w:p>
        </w:tc>
        <w:tc>
          <w:tcPr>
            <w:tcW w:w="0" w:type="auto"/>
            <w:shd w:val="clear"/>
            <w:vAlign w:val="center"/>
          </w:tcPr>
          <w:p w14:paraId="6D77240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Best for organisations already running on Google Workspace needing seamless productivity enhancement without adopting new tools.</w:t>
            </w:r>
          </w:p>
        </w:tc>
      </w:tr>
    </w:tbl>
    <w:p w14:paraId="1058E48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8E768B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At a Glance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4"/>
        <w:gridCol w:w="2197"/>
        <w:gridCol w:w="2164"/>
        <w:gridCol w:w="2491"/>
      </w:tblGrid>
      <w:tr w14:paraId="3545B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39E362">
            <w:pPr>
              <w:jc w:val="center"/>
              <w:rPr>
                <w:rFonts w:hint="default" w:ascii="Times New Roman" w:hAnsi="Times New Roman" w:cs="Times New Roman"/>
                <w:b/>
                <w:bCs/>
                <w:sz w:val="28"/>
                <w:szCs w:val="28"/>
              </w:rPr>
            </w:pPr>
          </w:p>
        </w:tc>
        <w:tc>
          <w:tcPr>
            <w:tcW w:w="0" w:type="auto"/>
            <w:shd w:val="clear"/>
            <w:vAlign w:val="center"/>
          </w:tcPr>
          <w:p w14:paraId="244E250F">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ChatGPT</w:t>
            </w:r>
          </w:p>
        </w:tc>
        <w:tc>
          <w:tcPr>
            <w:tcW w:w="0" w:type="auto"/>
            <w:shd w:val="clear"/>
            <w:vAlign w:val="center"/>
          </w:tcPr>
          <w:p w14:paraId="56AB6121">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Claude</w:t>
            </w:r>
          </w:p>
        </w:tc>
        <w:tc>
          <w:tcPr>
            <w:tcW w:w="0" w:type="auto"/>
            <w:shd w:val="clear"/>
            <w:vAlign w:val="center"/>
          </w:tcPr>
          <w:p w14:paraId="34FED92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Gemini</w:t>
            </w:r>
          </w:p>
        </w:tc>
      </w:tr>
      <w:tr w14:paraId="6601E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E14CDE">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Strongest At</w:t>
            </w:r>
          </w:p>
        </w:tc>
        <w:tc>
          <w:tcPr>
            <w:tcW w:w="0" w:type="auto"/>
            <w:shd w:val="clear"/>
            <w:vAlign w:val="center"/>
          </w:tcPr>
          <w:p w14:paraId="68A2DC5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Versatility &amp; integrations</w:t>
            </w:r>
          </w:p>
        </w:tc>
        <w:tc>
          <w:tcPr>
            <w:tcW w:w="0" w:type="auto"/>
            <w:shd w:val="clear"/>
            <w:vAlign w:val="center"/>
          </w:tcPr>
          <w:p w14:paraId="11B6D4D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Safety &amp; complex reasoning</w:t>
            </w:r>
          </w:p>
        </w:tc>
        <w:tc>
          <w:tcPr>
            <w:tcW w:w="0" w:type="auto"/>
            <w:shd w:val="clear"/>
            <w:vAlign w:val="center"/>
          </w:tcPr>
          <w:p w14:paraId="28D1422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Google ecosystem fit</w:t>
            </w:r>
          </w:p>
        </w:tc>
      </w:tr>
      <w:tr w14:paraId="746BD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87057D">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Watch Out For</w:t>
            </w:r>
          </w:p>
        </w:tc>
        <w:tc>
          <w:tcPr>
            <w:tcW w:w="0" w:type="auto"/>
            <w:shd w:val="clear"/>
            <w:vAlign w:val="center"/>
          </w:tcPr>
          <w:p w14:paraId="6078F24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Premium pricing at scale</w:t>
            </w:r>
          </w:p>
        </w:tc>
        <w:tc>
          <w:tcPr>
            <w:tcW w:w="0" w:type="auto"/>
            <w:shd w:val="clear"/>
            <w:vAlign w:val="center"/>
          </w:tcPr>
          <w:p w14:paraId="763344C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Smaller third-party ecosystem</w:t>
            </w:r>
          </w:p>
        </w:tc>
        <w:tc>
          <w:tcPr>
            <w:tcW w:w="0" w:type="auto"/>
            <w:shd w:val="clear"/>
            <w:vAlign w:val="center"/>
          </w:tcPr>
          <w:p w14:paraId="7C4FB02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Limited value outside Google stack</w:t>
            </w:r>
          </w:p>
        </w:tc>
      </w:tr>
      <w:tr w14:paraId="168FF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088D8A">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Ideal Customer</w:t>
            </w:r>
          </w:p>
        </w:tc>
        <w:tc>
          <w:tcPr>
            <w:tcW w:w="0" w:type="auto"/>
            <w:shd w:val="clear"/>
            <w:vAlign w:val="center"/>
          </w:tcPr>
          <w:p w14:paraId="491BD83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Microsoft / mixed-stack orgs</w:t>
            </w:r>
          </w:p>
        </w:tc>
        <w:tc>
          <w:tcPr>
            <w:tcW w:w="0" w:type="auto"/>
            <w:shd w:val="clear"/>
            <w:vAlign w:val="center"/>
          </w:tcPr>
          <w:p w14:paraId="600963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Regulated industries</w:t>
            </w:r>
          </w:p>
        </w:tc>
        <w:tc>
          <w:tcPr>
            <w:tcW w:w="0" w:type="auto"/>
            <w:shd w:val="clear"/>
            <w:vAlign w:val="center"/>
          </w:tcPr>
          <w:p w14:paraId="066DDE6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Google Workspace orgs</w:t>
            </w:r>
          </w:p>
        </w:tc>
      </w:tr>
    </w:tbl>
    <w:p w14:paraId="7DC13878">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D8DC40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Executive Summary</w:t>
      </w:r>
    </w:p>
    <w:p w14:paraId="7CD31014">
      <w:pPr>
        <w:pStyle w:val="11"/>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All three platforms are enterprise-ready and capable, but each serves a different organisational profile. ChatGPT leads on overall versatility and developer ecosystem maturity, while Gemini is the natural choice for organisations already embedded in the Google Workspace environment.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"https://www.glbgpt.com/hub/chatgpt-vs-gemini-2025/" \t "_blank" </w:instrText>
      </w:r>
      <w:r>
        <w:rPr>
          <w:rFonts w:hint="default" w:ascii="Times New Roman" w:hAnsi="Times New Roman" w:cs="Times New Roman"/>
          <w:sz w:val="28"/>
          <w:szCs w:val="28"/>
        </w:rPr>
        <w:fldChar w:fldCharType="separate"/>
      </w:r>
      <w:r>
        <w:rPr>
          <w:rStyle w:val="10"/>
          <w:rFonts w:hint="default" w:ascii="Times New Roman" w:hAnsi="Times New Roman" w:cs="Times New Roman"/>
          <w:sz w:val="28"/>
          <w:szCs w:val="28"/>
        </w:rPr>
        <w:t>Glbgpt</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Claude stands apart as the strongest option for enterprises where safety, regulatory compliance, and high-precision reasoning are non-negotiable — making it particularly well-suited for industries such as legal, finance, and healthcare where the cost of AI errors is highest. Leadership should base its final selection on three factors: existing technology stack, compliance requirements, and the primary use cases teams will rely on AI for day to day.</w:t>
      </w:r>
    </w:p>
    <w:p w14:paraId="40B85D1A">
      <w:pPr>
        <w:pStyle w:val="9"/>
        <w:keepNext w:val="0"/>
        <w:keepLines w:val="0"/>
        <w:widowControl/>
        <w:suppressLineNumbers w:val="0"/>
        <w:rPr>
          <w:rStyle w:val="8"/>
          <w:rFonts w:hint="default" w:ascii="Times New Roman" w:hAnsi="Times New Roman" w:eastAsia="var(--font-mono)" w:cs="Times New Roman"/>
          <w:color w:val="14181F"/>
          <w:sz w:val="28"/>
          <w:szCs w:val="28"/>
        </w:rPr>
      </w:pPr>
    </w:p>
    <w:p w14:paraId="44C24485">
      <w:pPr>
        <w:keepNext w:val="0"/>
        <w:keepLines w:val="0"/>
        <w:widowControl/>
        <w:suppressLineNumbers w:val="0"/>
        <w:rPr>
          <w:rStyle w:val="8"/>
          <w:rFonts w:hint="default" w:ascii="Times New Roman" w:hAnsi="Times New Roman" w:eastAsia="var(--font-mono)"/>
          <w:b/>
          <w:bCs/>
          <w:color w:val="14181F"/>
          <w:sz w:val="28"/>
          <w:szCs w:val="28"/>
        </w:rPr>
      </w:pPr>
      <w:r>
        <w:rPr>
          <w:rStyle w:val="8"/>
          <w:rFonts w:hint="default" w:ascii="Times New Roman" w:hAnsi="Times New Roman" w:eastAsia="var(--font-mono)"/>
          <w:b/>
          <w:bCs/>
          <w:color w:val="14181F"/>
          <w:sz w:val="28"/>
          <w:szCs w:val="28"/>
        </w:rPr>
        <w:t>RATINGS (out of 5):</w:t>
      </w:r>
    </w:p>
    <w:p w14:paraId="0774CB82">
      <w:pPr>
        <w:keepNext w:val="0"/>
        <w:keepLines w:val="0"/>
        <w:widowControl/>
        <w:suppressLineNumbers w:val="0"/>
        <w:rPr>
          <w:rStyle w:val="8"/>
          <w:rFonts w:hint="default" w:ascii="Times New Roman" w:hAnsi="Times New Roman" w:eastAsia="var(--font-mono)"/>
          <w:color w:val="14181F"/>
          <w:sz w:val="28"/>
          <w:szCs w:val="28"/>
        </w:rPr>
      </w:pPr>
    </w:p>
    <w:p w14:paraId="60EA1ACF">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Gemini  → Accuracy: 4 | Clarity: 4 | Relevance: 4 | Overall: 4.0</w:t>
      </w:r>
    </w:p>
    <w:p w14:paraId="32D86148">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ChatGPT → Accuracy: 4 | Clarity: 4 | Relevance: 4 | Overall: 4.0</w:t>
      </w:r>
    </w:p>
    <w:p w14:paraId="788DC0CC">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Claude  → Accuracy: 5 | Clarity: 5 | Relevance: 5 | Overall: 5.0</w:t>
      </w:r>
    </w:p>
    <w:p w14:paraId="1B2436C4">
      <w:pPr>
        <w:keepNext w:val="0"/>
        <w:keepLines w:val="0"/>
        <w:widowControl/>
        <w:suppressLineNumbers w:val="0"/>
        <w:rPr>
          <w:rStyle w:val="8"/>
          <w:rFonts w:hint="default" w:ascii="Times New Roman" w:hAnsi="Times New Roman" w:eastAsia="var(--font-mono)"/>
          <w:color w:val="14181F"/>
          <w:sz w:val="28"/>
          <w:szCs w:val="28"/>
        </w:rPr>
      </w:pPr>
    </w:p>
    <w:p w14:paraId="4685E9EB">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WINNER:</w:t>
      </w:r>
      <w:r>
        <w:rPr>
          <w:rStyle w:val="8"/>
          <w:rFonts w:hint="default" w:ascii="Times New Roman" w:hAnsi="Times New Roman" w:eastAsia="var(--font-mono)"/>
          <w:color w:val="14181F"/>
          <w:sz w:val="28"/>
          <w:szCs w:val="28"/>
        </w:rPr>
        <w:t xml:space="preserve"> Claude</w:t>
      </w:r>
    </w:p>
    <w:p w14:paraId="45772B39">
      <w:pPr>
        <w:keepNext w:val="0"/>
        <w:keepLines w:val="0"/>
        <w:widowControl/>
        <w:suppressLineNumbers w:val="0"/>
        <w:rPr>
          <w:rStyle w:val="8"/>
          <w:rFonts w:hint="default" w:ascii="Times New Roman" w:hAnsi="Times New Roman" w:eastAsia="var(--font-mono)"/>
          <w:color w:val="14181F"/>
          <w:sz w:val="28"/>
          <w:szCs w:val="28"/>
        </w:rPr>
      </w:pPr>
    </w:p>
    <w:p w14:paraId="2ACB28F9">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 BIAS DISCLAIMER: Claude evaluated itself in this prompt.</w:t>
      </w:r>
    </w:p>
    <w:p w14:paraId="3BBC561B">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color w:val="14181F"/>
          <w:sz w:val="28"/>
          <w:szCs w:val="28"/>
        </w:rPr>
        <w:t>Score reflects output structure quality, not product endorsement.</w:t>
      </w:r>
    </w:p>
    <w:p w14:paraId="4C1BE67B">
      <w:pPr>
        <w:keepNext w:val="0"/>
        <w:keepLines w:val="0"/>
        <w:widowControl/>
        <w:suppressLineNumbers w:val="0"/>
        <w:rPr>
          <w:rStyle w:val="8"/>
          <w:rFonts w:hint="default" w:ascii="Times New Roman" w:hAnsi="Times New Roman" w:eastAsia="var(--font-mono)"/>
          <w:color w:val="14181F"/>
          <w:sz w:val="28"/>
          <w:szCs w:val="28"/>
        </w:rPr>
      </w:pPr>
    </w:p>
    <w:p w14:paraId="4EB481A5">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LEARNING:</w:t>
      </w:r>
      <w:r>
        <w:rPr>
          <w:rStyle w:val="8"/>
          <w:rFonts w:hint="default" w:ascii="Times New Roman" w:hAnsi="Times New Roman" w:eastAsia="var(--font-mono)"/>
          <w:color w:val="14181F"/>
          <w:sz w:val="28"/>
          <w:szCs w:val="28"/>
        </w:rPr>
        <w:t xml:space="preserve"> Competitive comparison prompts for senior leadership reward models that add a "At a Glance" decision-shortcut table below the main comparison — non-technical executives don't read 5-row tables top to bottom, they scan for "who wins what." Star ratings (⭐⭐⭐⭐⭐) also translate complex criteria into instant visual hierarchy that text-only tables cannot replicate.</w:t>
      </w:r>
    </w:p>
    <w:p w14:paraId="726A1A8D">
      <w:pPr>
        <w:keepNext w:val="0"/>
        <w:keepLines w:val="0"/>
        <w:widowControl/>
        <w:suppressLineNumbers w:val="0"/>
        <w:rPr>
          <w:rStyle w:val="8"/>
          <w:rFonts w:hint="default" w:ascii="Times New Roman" w:hAnsi="Times New Roman" w:eastAsia="var(--font-mono)"/>
          <w:color w:val="14181F"/>
          <w:sz w:val="28"/>
          <w:szCs w:val="28"/>
        </w:rPr>
      </w:pPr>
    </w:p>
    <w:p w14:paraId="76B52D73">
      <w:pPr>
        <w:keepNext w:val="0"/>
        <w:keepLines w:val="0"/>
        <w:widowControl/>
        <w:suppressLineNumbers w:val="0"/>
        <w:rPr>
          <w:rStyle w:val="8"/>
          <w:rFonts w:hint="default" w:ascii="Times New Roman" w:hAnsi="Times New Roman" w:eastAsia="var(--font-mono)"/>
          <w:color w:val="14181F"/>
          <w:sz w:val="28"/>
          <w:szCs w:val="28"/>
        </w:rPr>
      </w:pPr>
      <w:r>
        <w:rPr>
          <w:rStyle w:val="8"/>
          <w:rFonts w:hint="default" w:ascii="Times New Roman" w:hAnsi="Times New Roman" w:eastAsia="var(--font-mono)"/>
          <w:b/>
          <w:bCs/>
          <w:color w:val="14181F"/>
          <w:sz w:val="28"/>
          <w:szCs w:val="28"/>
        </w:rPr>
        <w:t>REASON FOR WINNER:</w:t>
      </w:r>
      <w:r>
        <w:rPr>
          <w:rStyle w:val="8"/>
          <w:rFonts w:hint="default" w:ascii="Times New Roman" w:hAnsi="Times New Roman" w:eastAsia="var(--font-mono)"/>
          <w:color w:val="14181F"/>
          <w:sz w:val="28"/>
          <w:szCs w:val="28"/>
        </w:rPr>
        <w:t xml:space="preserve"> Claude delivered the most complete leadership-ready artifact — star-rated criteria, a secondary "At a Glance" table with "Watch Out For" rows, specific pricing figures (~$25/user), compliance callouts (GDPR/HIPAA), and a three-sentence executive summary that ended with a decision framework ("base selection on: stack, compliance, use cases") rather than a vague conclusion. Gemini and ChatGPT both produced solid tables but lacked the secondary summary table and decision-action closing that non-technical leadership actually needs to walk into a meeting ready to decide.</w:t>
      </w:r>
    </w:p>
    <w:p w14:paraId="40911988">
      <w:pPr>
        <w:keepNext w:val="0"/>
        <w:keepLines w:val="0"/>
        <w:widowControl/>
        <w:suppressLineNumbers w:val="0"/>
        <w:rPr>
          <w:rStyle w:val="8"/>
          <w:rFonts w:hint="default" w:ascii="Times New Roman" w:hAnsi="Times New Roman" w:eastAsia="var(--font-mono)"/>
          <w:color w:val="14181F"/>
          <w:sz w:val="28"/>
          <w:szCs w:val="28"/>
        </w:rPr>
      </w:pPr>
    </w:p>
    <w:p w14:paraId="6490C0FE">
      <w:pPr>
        <w:rPr>
          <w:rFonts w:hint="default" w:ascii="Times New Roman" w:hAnsi="Times New Roman" w:cs="Times New Roman"/>
          <w:sz w:val="28"/>
          <w:szCs w:val="28"/>
        </w:rPr>
      </w:pPr>
      <w:bookmarkStart w:id="0" w:name="_GoBack"/>
      <w:bookmarkEnd w:id="0"/>
    </w:p>
    <w:sectPr>
      <w:pgSz w:w="11906" w:h="16838"/>
      <w:pgMar w:top="1440" w:right="1800" w:bottom="1440" w:left="180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390956"/>
    <w:rsid w:val="0F39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basedOn w:val="1"/>
    <w:uiPriority w:val="0"/>
    <w:rPr>
      <w:sz w:val="24"/>
      <w:szCs w:val="24"/>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2749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2026-02-21T10:53:00Z</dcterms:created>
  <dc:creator>Arunesh Kumar</dc:creator>
  <cp:lastModifiedBy>Arunesh Kumar</cp:lastModifiedBy>
  <dcterms:modified xsi:type="dcterms:W3CDTF">2026-02-23T08:46:36Z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D200219EE2F34EC5AFD77C912D0FAD97_11</vt:lpwstr>
  </property>
</Properties>
</file>