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Data Architecture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Data Overview</w:t>
      </w:r>
    </w:p>
    <w:p>
      <w:r>
        <w:rPr>
          <w:b w:val="0"/>
          <w:i w:val="0"/>
        </w:rPr>
        <w:t>The platform uses a dual storage strategy: Dexie/IndexedDB for browser-local, offline-first project state, and PostgreSQL for durable, shared Agent Runtime and invite/session data.</w:t>
      </w:r>
    </w:p>
    <w:p>
      <w:pPr>
        <w:pStyle w:val="Heading1"/>
      </w:pPr>
      <w:r>
        <w:t>2. Data Sources</w:t>
      </w:r>
    </w:p>
    <w:p>
      <w:pPr>
        <w:pStyle w:val="ListBullet"/>
      </w:pPr>
      <w:r>
        <w:t>User-uploaded documents (.pdf/.docx/.txt/.xlsx/.xls/.csv).</w:t>
      </w:r>
    </w:p>
    <w:p>
      <w:pPr>
        <w:pStyle w:val="ListBullet"/>
      </w:pPr>
      <w:r>
        <w:t>Agent-generated artifacts (markdown output per agent).</w:t>
      </w:r>
    </w:p>
    <w:p>
      <w:pPr>
        <w:pStyle w:val="ListBullet"/>
      </w:pPr>
      <w:r>
        <w:t>Team roster and domain context, entered by the project owner.</w:t>
      </w:r>
    </w:p>
    <w:p>
      <w:pPr>
        <w:pStyle w:val="Heading1"/>
      </w:pPr>
      <w:r>
        <w:t>3. Data Entities</w:t>
      </w:r>
    </w:p>
    <w:p>
      <w:r>
        <w:rPr>
          <w:b w:val="0"/>
          <w:i w:val="0"/>
        </w:rPr>
        <w:t>[Current-state confirmed] Project, AgentRun, TeamRosterEntry, and invite/session records are the primary entities confirmed in the codebase; a specific customer project's own domain entities are project-specific and not enumerated here (see Domain Context Document, #17).</w:t>
      </w:r>
    </w:p>
    <w:p>
      <w:pPr>
        <w:pStyle w:val="Heading1"/>
      </w:pPr>
      <w:r>
        <w:t>4. Data Flow</w:t>
      </w:r>
    </w:p>
    <w:p>
      <w:r>
        <w:rPr>
          <w:b w:val="0"/>
          <w:i w:val="0"/>
        </w:rPr>
        <w:t>[Current-state confirmed] Upload to extraction to project context to agent execution to artifact storage to export.</w:t>
      </w:r>
    </w:p>
    <w:p>
      <w:pPr>
        <w:pStyle w:val="Heading1"/>
      </w:pPr>
      <w:r>
        <w:t>5. Data Ownership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Project data (Dexie)</w:t>
            </w:r>
          </w:p>
        </w:tc>
        <w:tc>
          <w:tcPr>
            <w:tcW w:type="dxa" w:w="2880"/>
          </w:tcPr>
          <w:p>
            <w:r>
              <w:t>Browser / project_owner's device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Agent Runtime data (PostgreSQL)</w:t>
            </w:r>
          </w:p>
        </w:tc>
        <w:tc>
          <w:tcPr>
            <w:tcW w:type="dxa" w:w="2880"/>
          </w:tcPr>
          <w:p>
            <w:r>
              <w:t>Platform / Agent Runtime service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Invite/session data (PostgreSQL)</w:t>
            </w:r>
          </w:p>
        </w:tc>
        <w:tc>
          <w:tcPr>
            <w:tcW w:type="dxa" w:w="2880"/>
          </w:tcPr>
          <w:p>
            <w:r>
              <w:t>Platform / auth precedence chain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/>
    <w:p>
      <w:pPr>
        <w:pStyle w:val="Heading1"/>
      </w:pPr>
      <w:r>
        <w:t>6. Data Quality</w:t>
      </w:r>
    </w:p>
    <w:p>
      <w:r>
        <w:rPr>
          <w:b w:val="0"/>
          <w:i w:val="0"/>
        </w:rPr>
        <w:t>[Open question] No automated data-quality validation (e.g., schema checks on extracted project context) was confirmed beyond the L3 agent's own structured-output attempt.</w:t>
      </w:r>
    </w:p>
    <w:p>
      <w:pPr>
        <w:pStyle w:val="Heading1"/>
      </w:pPr>
      <w:r>
        <w:t>7. Retention</w:t>
      </w:r>
    </w:p>
    <w:p>
      <w:r>
        <w:rPr>
          <w:b w:val="0"/>
          <w:i w:val="0"/>
        </w:rPr>
        <w:t>[Current-state confirmed] No data retention policy or automated purge mechanism was found, other than the manual, admin-triggered Danger Zone reset which explicitly protects master_* tables.</w:t>
      </w:r>
    </w:p>
    <w:p>
      <w:pPr>
        <w:pStyle w:val="Heading1"/>
      </w:pPr>
      <w:r>
        <w:t>8. Security</w:t>
      </w:r>
    </w:p>
    <w:p>
      <w:r>
        <w:rPr>
          <w:b w:val="0"/>
          <w:i w:val="0"/>
        </w:rPr>
        <w:t>[Assumption] No field-level encryption-at-rest or in-transit configuration was independently verified this engagement; Railway/PostgreSQL defaults are assumed but not confirmed.</w:t>
      </w:r>
    </w:p>
    <w:p>
      <w:pPr>
        <w:pStyle w:val="Heading1"/>
      </w:pPr>
      <w:r>
        <w:t>9. Governance</w:t>
      </w:r>
    </w:p>
    <w:p>
      <w:r>
        <w:rPr>
          <w:b w:val="0"/>
          <w:i w:val="0"/>
        </w:rPr>
        <w:t>[Current-state confirmed] Master reference tables (domains, phases, agent catalog, role templates) are explicitly protected from the admin reset action — the platform's only confirmed data-governance control.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Data Flow Architecture</w:t>
      </w:r>
    </w:p>
    <w:p>
      <w:r>
        <w:rPr>
          <w:b w:val="0"/>
          <w:i w:val="0"/>
        </w:rPr>
        <w:t>How data moves from upload through to durable storage.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Upload[Document Upload]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Dexie[(Dexie IndexedDB)]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Postgres[(PostgreSQL)]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Export[Exported File]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Upload --&gt; Dexie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Dexie --&gt; Postgres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Postgres --&gt; Export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Reflects the dual-storage model; the Dexie-to-Postgres sync mechanics were not fully re-verified this engagement.</w:t>
      </w:r>
    </w:p>
    <w:p>
      <w:r>
        <w:rPr>
          <w:b w:val="0"/>
          <w:i/>
        </w:rPr>
        <w:t>Confidence: Medium — dual storage confirmed, sync detail not fully re-verified.</w:t>
      </w:r>
    </w:p>
    <w:p/>
    <w:p>
      <w:pPr>
        <w:pStyle w:val="Heading3"/>
      </w:pPr>
      <w:r>
        <w:t>Diagram 2: Data Lineage Flow</w:t>
      </w:r>
    </w:p>
    <w:p>
      <w:r>
        <w:rPr>
          <w:b w:val="0"/>
          <w:i w:val="0"/>
        </w:rPr>
        <w:t>Where a piece of agent-generated content originates and where it can end up.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Source[Uploaded Document]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Context[Extracted Context]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AgentOutput[Agent Output]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ExportedDoc[Exported Document]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Source --&gt; Context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Context --&gt; AgentOutput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AgentOutput --&gt; ExportedDoc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Every exported document traces back to an uploaded source document plus agent processing.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Entity Relationship Diagram</w:t>
      </w:r>
    </w:p>
    <w:p>
      <w:r>
        <w:rPr>
          <w:b w:val="0"/>
          <w:i w:val="0"/>
        </w:rPr>
        <w:t>Core platform entities.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erDiagram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PROJECT {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id PK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name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domainContext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}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AGENTRUN {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id PK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projectId FK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agentId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status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}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TEAMMEMBER {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id PK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projectId FK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name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string role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}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PROJECT ||--o{ AGENTRUN : has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PROJECT ||--o{ TEAMMEMBER : has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Simplified core-entity view; full schema detail is in the Data Model / ERD Document (#23).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4: Data Governance Flow</w:t>
      </w:r>
    </w:p>
    <w:p>
      <w:r>
        <w:rPr>
          <w:b w:val="0"/>
          <w:i w:val="0"/>
        </w:rPr>
        <w:t>How the admin reset action respects the master/project data boundary.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Reset[Reset Requested]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Check[Identify Table Type]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ProjectTable[Project Scoped Table]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MasterTable[Master Reference Table]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Truncate[Truncated]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Protected[Left Untouched]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Reset --&gt; Check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 --&gt; ProjectTable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 --&gt; MasterTable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ProjectTable --&gt; Truncate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MasterTable --&gt; Protected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behavior in AdminPanel.tsx.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10. Confidence Level</w:t>
      </w:r>
    </w:p>
    <w:p>
      <w:r>
        <w:rPr>
          <w:b w:val="0"/>
          <w:i w:val="0"/>
        </w:rPr>
        <w:t>Overall confidence: 0.8. High on entities and governance (code-grounded). Medium on data quality, retention, and security-at-rest, where no explicit configuration was found either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