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Change Management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Change Overview</w:t>
      </w:r>
    </w:p>
    <w:p>
      <w:r>
        <w:rPr>
          <w:b w:val="0"/>
          <w:i w:val="0"/>
        </w:rPr>
        <w:t>Governs how changes like this engagement's four fixes should be assessed, approved, and recorded going forward.</w:t>
      </w:r>
    </w:p>
    <w:p>
      <w:pPr>
        <w:pStyle w:val="Heading1"/>
      </w:pPr>
      <w:r>
        <w:t>2. Change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Approval Needed</w:t>
            </w:r>
          </w:p>
        </w:tc>
      </w:tr>
      <w:tr>
        <w:tc>
          <w:tcPr>
            <w:tcW w:type="dxa" w:w="2880"/>
          </w:tcPr>
          <w:p>
            <w:r>
              <w:t>Governance-critical</w:t>
            </w:r>
          </w:p>
        </w:tc>
        <w:tc>
          <w:tcPr>
            <w:tcW w:type="dxa" w:w="2880"/>
          </w:tcPr>
          <w:p>
            <w:r>
              <w:t>Review-gate logic, admin reset logic</w:t>
            </w:r>
          </w:p>
        </w:tc>
        <w:tc>
          <w:tcPr>
            <w:tcW w:type="dxa" w:w="2880"/>
          </w:tcPr>
          <w:p>
            <w:r>
              <w:t>Should require explicit Decision Log entry</w:t>
            </w:r>
          </w:p>
        </w:tc>
      </w:tr>
      <w:tr>
        <w:tc>
          <w:tcPr>
            <w:tcW w:type="dxa" w:w="2880"/>
          </w:tcPr>
          <w:p>
            <w:r>
              <w:t>Security policy</w:t>
            </w:r>
          </w:p>
        </w:tc>
        <w:tc>
          <w:tcPr>
            <w:tcW w:type="dxa" w:w="2880"/>
          </w:tcPr>
          <w:p>
            <w:r>
              <w:t>CSP headers, auth chain</w:t>
            </w:r>
          </w:p>
        </w:tc>
        <w:tc>
          <w:tcPr>
            <w:tcW w:type="dxa" w:w="2880"/>
          </w:tcPr>
          <w:p>
            <w:r>
              <w:t>Should require explicit Decision Log entry</w:t>
            </w:r>
          </w:p>
        </w:tc>
      </w:tr>
      <w:tr>
        <w:tc>
          <w:tcPr>
            <w:tcW w:type="dxa" w:w="2880"/>
          </w:tcPr>
          <w:p>
            <w:r>
              <w:t>Agent configuration</w:t>
            </w:r>
          </w:p>
        </w:tc>
        <w:tc>
          <w:tcPr>
            <w:tcW w:type="dxa" w:w="2880"/>
          </w:tcPr>
          <w:p>
            <w:r>
              <w:t>maxIterations, system prompts</w:t>
            </w:r>
          </w:p>
        </w:tc>
        <w:tc>
          <w:tcPr>
            <w:tcW w:type="dxa" w:w="2880"/>
          </w:tcPr>
          <w:p>
            <w:r>
              <w:t>Should require inline justification comment</w:t>
            </w:r>
          </w:p>
        </w:tc>
      </w:tr>
      <w:tr>
        <w:tc>
          <w:tcPr>
            <w:tcW w:type="dxa" w:w="2880"/>
          </w:tcPr>
          <w:p>
            <w:r>
              <w:t>Cosmetic/UI</w:t>
            </w:r>
          </w:p>
        </w:tc>
        <w:tc>
          <w:tcPr>
            <w:tcW w:type="dxa" w:w="2880"/>
          </w:tcPr>
          <w:p>
            <w:r>
              <w:t>Accessibility labels, icon style</w:t>
            </w:r>
          </w:p>
        </w:tc>
        <w:tc>
          <w:tcPr>
            <w:tcW w:type="dxa" w:w="2880"/>
          </w:tcPr>
          <w:p>
            <w:r>
              <w:t>Standard code review</w:t>
            </w:r>
          </w:p>
        </w:tc>
      </w:tr>
    </w:tbl>
    <w:p/>
    <w:p>
      <w:pPr>
        <w:pStyle w:val="Heading1"/>
      </w:pPr>
      <w:r>
        <w:t>3. Impact Assessment</w:t>
      </w:r>
    </w:p>
    <w:p>
      <w:r>
        <w:rPr>
          <w:b w:val="0"/>
          <w:i w:val="0"/>
        </w:rPr>
        <w:t>[Current-state confirmed] This engagement's four changes were each individually assessed for impact before implementation (e.g. confirming no data migration was needed, confirming the CSP change didn't weaken security beyond the specific blob: exception).</w:t>
      </w:r>
    </w:p>
    <w:p>
      <w:pPr>
        <w:pStyle w:val="Heading1"/>
      </w:pPr>
      <w:r>
        <w:t>4. Approval Process</w:t>
      </w:r>
    </w:p>
    <w:p>
      <w:r>
        <w:rPr>
          <w:b w:val="0"/>
          <w:i w:val="0"/>
        </w:rPr>
        <w:t>[Current-state confirmed] No formal change-approval board was found; changes this engagement were approved via standard code review and, for architecturally significant ones, logged in the Decision Log (#08).</w:t>
      </w:r>
    </w:p>
    <w:p>
      <w:pPr>
        <w:pStyle w:val="Heading1"/>
      </w:pPr>
      <w:r>
        <w:t>5. Implementation</w:t>
      </w:r>
    </w:p>
    <w:p>
      <w:r>
        <w:rPr>
          <w:b w:val="0"/>
          <w:i w:val="0"/>
        </w:rPr>
        <w:t>[Current-state confirmed] Each change was implemented as an individually-committed, targeted fix rather than bundled into a single large commit — consistent with the Coding Standards Document (#37) principle of individually-justified changes.</w:t>
      </w:r>
    </w:p>
    <w:p>
      <w:pPr>
        <w:pStyle w:val="Heading1"/>
      </w:pPr>
      <w:r>
        <w:t>6. Validation</w:t>
      </w:r>
    </w:p>
    <w:p>
      <w:r>
        <w:rPr>
          <w:b w:val="0"/>
          <w:i w:val="0"/>
        </w:rPr>
        <w:t>[Current-state confirmed] See Test Case Document (#44).</w:t>
      </w:r>
    </w:p>
    <w:p>
      <w:pPr>
        <w:pStyle w:val="Heading1"/>
      </w:pPr>
      <w:r>
        <w:t>7. Communication</w:t>
      </w:r>
    </w:p>
    <w:p>
      <w:r>
        <w:rPr>
          <w:b w:val="0"/>
          <w:i w:val="0"/>
        </w:rPr>
        <w:t>[Current-state confirmed] The Recent Platform Updates sections added to four documents this engagement are the closest current substitute for formal change communication.</w:t>
      </w:r>
    </w:p>
    <w:p>
      <w:pPr>
        <w:pStyle w:val="Heading1"/>
      </w:pPr>
      <w:r>
        <w:t>8. Audit</w:t>
      </w:r>
    </w:p>
    <w:p>
      <w:r>
        <w:rPr>
          <w:b w:val="0"/>
          <w:i w:val="0"/>
        </w:rPr>
        <w:t>[Current-state confirmed] The Decision Log (#08) is the platform's closest current substitute for a change audit trail; no automated, structured change-audit system exists.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Change Approval Flow</w:t>
      </w:r>
    </w:p>
    <w:p>
      <w:r>
        <w:rPr>
          <w:b w:val="0"/>
          <w:i w:val="0"/>
        </w:rPr>
        <w:t>How a governance-critical change should be approved.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Proposed[Change Proposed]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Assessed[Impact Assessed]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Reviewed[Code Reviewed]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Logged[Logged In Decision Log]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Merged[Merged]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Proposed --&gt; Assessed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Assessed --&gt; Reviewed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Reviewed --&gt; Logged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Logged --&gt; Merged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actual process followed for all four decisions logged this engagement.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Impact Assessment Flow</w:t>
      </w:r>
    </w:p>
    <w:p>
      <w:r>
        <w:rPr>
          <w:b w:val="0"/>
          <w:i w:val="0"/>
        </w:rPr>
        <w:t>How impact was assessed for the CSP change specifically.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Change[CSP Change Proposed]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CheckScope[Check Scope Of Exception]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ConfirmMinimal[Confirm Minimal Blob Only Exception]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Approved[Approved]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 --&gt; CheckScope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CheckScope --&gt; ConfirmMinimal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ConfirmMinimal --&gt; Approved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actual reasoning applied when choosing the minimal frame-src exception over a broader CSP change.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Audit Trail Flow</w:t>
      </w:r>
    </w:p>
    <w:p>
      <w:r>
        <w:rPr>
          <w:b w:val="0"/>
          <w:i w:val="0"/>
        </w:rPr>
        <w:t>Current (informal) audit trail for changes.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Change[Change Made]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DecisionLog[Recorded In Decision Log]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GitHistory[Recorded In Git History]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NoStructuredAudit[No Structured Change Audit System]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 --&gt; DecisionLog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 --&gt; GitHistory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DecisionLog --&gt; NoStructuredAudit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confirmed gap: some record exists, but no structured, queryable change-audit system.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— this document accurately describes the actual, informal-but-disciplined change process followed this engagement, rather than an idealized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