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Coding Standards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Code Quality Principles</w:t>
      </w:r>
    </w:p>
    <w:p>
      <w:r>
        <w:rPr>
          <w:b w:val="0"/>
          <w:i w:val="0"/>
        </w:rPr>
        <w:t>[Current-state confirmed] This document maps directly to the platform's existing codeReviewStandards agent output category (Code Review Guide). Principles observed in this engagement's own changes: prefer targeted, individually-justified changes over broad rewrites; document the reasoning inline (e.g. per-agent maxIterations comments).</w:t>
      </w:r>
    </w:p>
    <w:p>
      <w:pPr>
        <w:pStyle w:val="Heading1"/>
      </w:pPr>
      <w:r>
        <w:t>2. Naming</w:t>
      </w:r>
    </w:p>
    <w:p>
      <w:r>
        <w:rPr>
          <w:b w:val="0"/>
          <w:i w:val="0"/>
        </w:rPr>
        <w:t>[Current-state confirmed] Agent IDs use camelCase (e.g. sdlcOrchestrator, codeReviewStandards); CSS custom properties use kebab-case with a -- prefix (e.g. --accent-hover).</w:t>
      </w:r>
    </w:p>
    <w:p>
      <w:pPr>
        <w:pStyle w:val="Heading1"/>
      </w:pPr>
      <w:r>
        <w:t>3. Structure</w:t>
      </w:r>
    </w:p>
    <w:p>
      <w:r>
        <w:rPr>
          <w:b w:val="0"/>
          <w:i w:val="0"/>
        </w:rPr>
        <w:t>[Current-state confirmed] Agents are defined as AgentDefinition objects in a single definitions.ts registry; tools are defined as AgentTool objects in tools.ts; both follow a consistent shape across all instances.</w:t>
      </w:r>
    </w:p>
    <w:p>
      <w:pPr>
        <w:pStyle w:val="Heading1"/>
      </w:pPr>
      <w:r>
        <w:t>4. Error Handling</w:t>
      </w:r>
    </w:p>
    <w:p>
      <w:r>
        <w:rPr>
          <w:b w:val="0"/>
          <w:i w:val="0"/>
        </w:rPr>
        <w:t>[Current-state confirmed] Tools return structured { found: false, message } rather than throwing on a missing prior output — a confirmed, consistent pattern worth following for any new tool.</w:t>
      </w:r>
    </w:p>
    <w:p>
      <w:pPr>
        <w:pStyle w:val="Heading1"/>
      </w:pPr>
      <w:r>
        <w:t>5. Security Rules</w:t>
      </w:r>
    </w:p>
    <w:p>
      <w:pPr>
        <w:pStyle w:val="ListBullet"/>
      </w:pPr>
      <w:r>
        <w:t>Never allow a destructive action (e.g. admin reset) to execute without explicit typed confirmation.</w:t>
      </w:r>
    </w:p>
    <w:p>
      <w:pPr>
        <w:pStyle w:val="ListBullet"/>
      </w:pPr>
      <w:r>
        <w:t>Never let a convenience/dev-only bypass (e.g. admin-bypass bearer) be reachable without an explicit, tested guarantee it's disabled in production.</w:t>
      </w:r>
    </w:p>
    <w:p>
      <w:pPr>
        <w:pStyle w:val="Heading1"/>
      </w:pPr>
      <w:r>
        <w:t>6. Testing Rules</w:t>
      </w:r>
    </w:p>
    <w:p>
      <w:r>
        <w:rPr>
          <w:b w:val="0"/>
          <w:i w:val="0"/>
        </w:rPr>
        <w:t>[Current-state confirmed] No enforced testing rule beyond the existing 90% coverage threshold in vite.config.ts for frontend; the pending test-suite update task should establish equivalent explicit rules for integration/E2E coverage.</w:t>
      </w:r>
    </w:p>
    <w:p>
      <w:pPr>
        <w:pStyle w:val="Heading1"/>
      </w:pPr>
      <w:r>
        <w:t>7. Review Checklist</w:t>
      </w:r>
    </w:p>
    <w:p>
      <w:r>
        <w:rPr>
          <w:b w:val="0"/>
          <w:i w:val="0"/>
        </w:rPr>
        <w:t>[Current-state confirmed] See the dedicated Code Review Checklist (#39) of this document set for the full checklist derived from the same source category.</w:t>
      </w:r>
    </w:p>
    <w:p>
      <w:pPr>
        <w:pStyle w:val="Heading1"/>
      </w:pPr>
      <w:r>
        <w:t>8. Exceptions</w:t>
      </w:r>
    </w:p>
    <w:p>
      <w:r>
        <w:rPr>
          <w:b w:val="0"/>
          <w:i w:val="0"/>
        </w:rPr>
        <w:t>[Current-state confirmed] The admin-bypass bearer token is an intentional, documented dev-only exception to the standard auth chain — acceptable only because it is (by convention) unreachable in production.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Code Quality Flow</w:t>
      </w:r>
    </w:p>
    <w:p>
      <w:r>
        <w:rPr>
          <w:b w:val="0"/>
          <w:i w:val="0"/>
        </w:rPr>
        <w:t>How a change should move from idea to merged code under these standards.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Change[Change Proposed]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Justify[Justified Inline]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Reviewed[Reviewed Against Standards]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Merged[Merged]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 --&gt; Justify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Justify --&gt; Reviewed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 --&gt; Merged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pattern actually followed for the maxIterations resizing this engagement (each change had an inline justification comment).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Review Checklist Flow</w:t>
      </w:r>
    </w:p>
    <w:p>
      <w:r>
        <w:rPr>
          <w:b w:val="0"/>
          <w:i w:val="0"/>
        </w:rPr>
        <w:t>How a reviewer should apply the checklist during review.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PR[Pull Request Opened]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Checklist[Apply Review Checklist]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Pass[Passes All Items]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Changes[Requests Changes]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 --&gt; Checklist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Checklist --&gt; Changes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Generic review flow; the specific checklist items are in Document #39.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Secure Coding Control Map</w:t>
      </w:r>
    </w:p>
    <w:p>
      <w:r>
        <w:rPr>
          <w:b w:val="0"/>
          <w:i w:val="0"/>
        </w:rPr>
        <w:t>Where the two security rules from Section 5 apply.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DestructiveAction[Destructive Action]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TypedConfirm[Typed Confirmation Required]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DevBypass[Dev Only Bypass]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ProdGuarantee[Must Be Proven Unreachable In Prod]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DestructiveAction --&gt; TypedConfirm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DevBypass --&gt; ProdGuarantee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admin-reset and admin-bypass patterns respectively.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on patterns directly observed in the codebase and this engagement's own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