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AGENTIC SDLC FRAMEWORK</w:t>
      </w:r>
    </w:p>
    <w:p>
      <w:pPr>
        <w:jc w:val="center"/>
      </w:pPr>
      <w:r>
        <w:rPr>
          <w:i/>
          <w:sz w:val="28"/>
        </w:rPr>
        <w:t>Project Charter</w:t>
      </w:r>
    </w:p>
    <w:p/>
    <w:p>
      <w:pPr>
        <w:jc w:val="center"/>
      </w:pPr>
      <w:r>
        <w:t>─────────────────────────────────────────────</w:t>
      </w:r>
    </w:p>
    <w:p/>
    <w:p>
      <w:pPr>
        <w:jc w:val="center"/>
      </w:pPr>
      <w:r>
        <w:t>Version 1.0  |  July 2026</w:t>
      </w:r>
    </w:p>
    <w:p>
      <w:pPr>
        <w:jc w:val="center"/>
      </w:pPr>
      <w:r>
        <w:t>CONFIDENTIAL</w:t>
      </w:r>
    </w:p>
    <w:p>
      <w:pPr>
        <w:jc w:val="center"/>
      </w:pPr>
      <w:r>
        <w:t>Prepared by: Engineering &amp; Architecture Team</w:t>
      </w:r>
    </w:p>
    <w:p>
      <w:pPr>
        <w:jc w:val="center"/>
      </w:pPr>
      <w:r>
        <w:t>Audience: Technical Architects, Engineering Directors, Product Owners, Delivery Leaders</w:t>
      </w:r>
    </w:p>
    <w:p>
      <w:r>
        <w:br w:type="page"/>
      </w:r>
    </w:p>
    <w:p>
      <w:pPr>
        <w:pStyle w:val="Heading1"/>
      </w:pPr>
      <w:r>
        <w:t>1. Executive Summary</w:t>
      </w:r>
    </w:p>
    <w:p>
      <w:r>
        <w:rPr>
          <w:b w:val="0"/>
          <w:i w:val="0"/>
        </w:rPr>
        <w:t>The Agentic SDLC Framework is a browser-based AI orchestration platform that automates the production of software delivery lifecycle artifacts. A React/Vite single-page application coordinates 30 specialized AI agents across 11 delivery phases, each agent following a Plan-Act-Observe execution loop against an LLM provider, with human review gates enforced before a project can advance between phases. This charter defines why the project exists, what it must deliver, its boundaries, and how it is governed.</w:t>
      </w:r>
    </w:p>
    <w:p>
      <w:r>
        <w:rPr>
          <w:b w:val="0"/>
          <w:i w:val="0"/>
        </w:rPr>
        <w:t>[Current-state confirmed] The platform, its 30-agent/11-phase pipeline, dual-backend architecture (legacy Express proxy plus a TypeScript L3 Agent Runtime), Dexie/IndexedDB plus PostgreSQL dual storage, and its RBAC model (project_owner/editor/reviewer/viewer plus a platform-wide admin flag) are directly confirmed in the codebase reviewed during this engagement.</w:t>
      </w:r>
    </w:p>
    <w:p>
      <w:pPr>
        <w:pStyle w:val="Heading1"/>
      </w:pPr>
      <w:r>
        <w:t>2. Business Objective</w:t>
      </w:r>
    </w:p>
    <w:p>
      <w:r>
        <w:rPr>
          <w:b w:val="0"/>
          <w:i w:val="0"/>
        </w:rPr>
        <w:t>Reduce the time and specialist effort required to produce a complete, internally consistent set of SDLC documentation and design artifacts for a software project, by having AI agents draft phase-appropriate deliverables from ingested project documents and domain knowledge, subject to human approval at each gate.</w:t>
      </w:r>
    </w:p>
    <w:p>
      <w:r>
        <w:rPr>
          <w:b w:val="0"/>
          <w:i w:val="0"/>
        </w:rPr>
        <w:t>[Open question] Specific target ROI figures, budget envelope, and payback period are not present in the codebase or provided project materials.</w:t>
      </w:r>
    </w:p>
    <w:p>
      <w:pPr>
        <w:pStyle w:val="Heading1"/>
      </w:pPr>
      <w:r>
        <w:t>3. Problem Statement</w:t>
      </w:r>
    </w:p>
    <w:p>
      <w:r>
        <w:rPr>
          <w:b w:val="0"/>
          <w:i w:val="0"/>
        </w:rPr>
        <w:t>Producing a full SDLC document set (charters, requirements, architecture, test plans, runbooks, and closure reports) by hand is slow, inconsistent across authors, and frequently falls out of sync with the actual system as it evolves — as seen directly in this engagement, where the existing Architecture document had not been updated to reflect recent fixes (review-gate hard-gating, CSP changes, agent iteration-budget corrections) until this pass. The platform's premise is that an agentic pipeline, gated by human review, can keep this documentation set current at much lower marginal cost than manual authoring.</w:t>
      </w:r>
    </w:p>
    <w:p>
      <w:pPr>
        <w:pStyle w:val="Heading1"/>
      </w:pPr>
      <w:r>
        <w:t>4. Goals and Success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Goal</w:t>
            </w:r>
          </w:p>
        </w:tc>
        <w:tc>
          <w:tcPr>
            <w:tcW w:type="dxa" w:w="2160"/>
          </w:tcPr>
          <w:p>
            <w:r>
              <w:rPr>
                <w:b/>
              </w:rPr>
              <w:t>Success Metric</w:t>
            </w:r>
          </w:p>
        </w:tc>
        <w:tc>
          <w:tcPr>
            <w:tcW w:type="dxa" w:w="2160"/>
          </w:tcPr>
          <w:p>
            <w:r>
              <w:rPr>
                <w:b/>
              </w:rPr>
              <w:t>Current State</w:t>
            </w:r>
          </w:p>
        </w:tc>
        <w:tc>
          <w:tcPr>
            <w:tcW w:type="dxa" w:w="2160"/>
          </w:tcPr>
          <w:p>
            <w:r>
              <w:rPr>
                <w:b/>
              </w:rPr>
              <w:t>Confidence</w:t>
            </w:r>
          </w:p>
        </w:tc>
      </w:tr>
      <w:tr>
        <w:tc>
          <w:tcPr>
            <w:tcW w:type="dxa" w:w="2160"/>
          </w:tcPr>
          <w:p>
            <w:r>
              <w:t>Reduce manual SDLC document authoring effort</w:t>
            </w:r>
          </w:p>
        </w:tc>
        <w:tc>
          <w:tcPr>
            <w:tcW w:type="dxa" w:w="2160"/>
          </w:tcPr>
          <w:p>
            <w:r>
              <w:t>Not yet instrumented — no measured baseline or target found in codebase</w:t>
            </w:r>
          </w:p>
        </w:tc>
        <w:tc>
          <w:tcPr>
            <w:tcW w:type="dxa" w:w="2160"/>
          </w:tcPr>
          <w:p>
            <w:r>
              <w:t>No metrics/telemetry for authoring time observed</w:t>
            </w:r>
          </w:p>
        </w:tc>
        <w:tc>
          <w:tcPr>
            <w:tcW w:type="dxa" w:w="2160"/>
          </w:tcPr>
          <w:p>
            <w:r>
              <w:t>Low — open question</w:t>
            </w:r>
          </w:p>
        </w:tc>
      </w:tr>
      <w:tr>
        <w:tc>
          <w:tcPr>
            <w:tcW w:type="dxa" w:w="2160"/>
          </w:tcPr>
          <w:p>
            <w:r>
              <w:t>Keep documentation synchronized with the shipped system</w:t>
            </w:r>
          </w:p>
        </w:tc>
        <w:tc>
          <w:tcPr>
            <w:tcW w:type="dxa" w:w="2160"/>
          </w:tcPr>
          <w:p>
            <w:r>
              <w:t>Not yet instrumented</w:t>
            </w:r>
          </w:p>
        </w:tc>
        <w:tc>
          <w:tcPr>
            <w:tcW w:type="dxa" w:w="2160"/>
          </w:tcPr>
          <w:p>
            <w:r>
              <w:t>Demonstrated manually in this engagement (doc updates followed code changes), not automated</w:t>
            </w:r>
          </w:p>
        </w:tc>
        <w:tc>
          <w:tcPr>
            <w:tcW w:type="dxa" w:w="2160"/>
          </w:tcPr>
          <w:p>
            <w:r>
              <w:t>Medium</w:t>
            </w:r>
          </w:p>
        </w:tc>
      </w:tr>
      <w:tr>
        <w:tc>
          <w:tcPr>
            <w:tcW w:type="dxa" w:w="2160"/>
          </w:tcPr>
          <w:p>
            <w:r>
              <w:t>Enforce human accountability before artifacts are finalized</w:t>
            </w:r>
          </w:p>
        </w:tc>
        <w:tc>
          <w:tcPr>
            <w:tcW w:type="dxa" w:w="2160"/>
          </w:tcPr>
          <w:p>
            <w:r>
              <w:t>Review gate cannot be approved with incomplete agent output</w:t>
            </w:r>
          </w:p>
        </w:tc>
        <w:tc>
          <w:tcPr>
            <w:tcW w:type="dxa" w:w="2160"/>
          </w:tcPr>
          <w:p>
            <w:r>
              <w:t>Implemented and verified this engagement (ReviewGateModal.tsx)</w:t>
            </w:r>
          </w:p>
        </w:tc>
        <w:tc>
          <w:tcPr>
            <w:tcW w:type="dxa" w:w="2160"/>
          </w:tcPr>
          <w:p>
            <w:r>
              <w:t>High</w:t>
            </w:r>
          </w:p>
        </w:tc>
      </w:tr>
      <w:tr>
        <w:tc>
          <w:tcPr>
            <w:tcW w:type="dxa" w:w="2160"/>
          </w:tcPr>
          <w:p>
            <w:r>
              <w:t>Protect reference/master data during resets</w:t>
            </w:r>
          </w:p>
        </w:tc>
        <w:tc>
          <w:tcPr>
            <w:tcW w:type="dxa" w:w="2160"/>
          </w:tcPr>
          <w:p>
            <w:r>
              <w:t>Admin reset action must never touch master tables</w:t>
            </w:r>
          </w:p>
        </w:tc>
        <w:tc>
          <w:tcPr>
            <w:tcW w:type="dxa" w:w="2160"/>
          </w:tcPr>
          <w:p>
            <w:r>
              <w:t>Implemented — Danger Zone reset truncates only project-scoped tables</w:t>
            </w:r>
          </w:p>
        </w:tc>
        <w:tc>
          <w:tcPr>
            <w:tcW w:type="dxa" w:w="2160"/>
          </w:tcPr>
          <w:p>
            <w:r>
              <w:t>High</w:t>
            </w:r>
          </w:p>
        </w:tc>
      </w:tr>
    </w:tbl>
    <w:p/>
    <w:p>
      <w:pPr>
        <w:pStyle w:val="Heading1"/>
      </w:pPr>
      <w:r>
        <w:t>5. In Scope</w:t>
      </w:r>
    </w:p>
    <w:p>
      <w:pPr>
        <w:pStyle w:val="ListBullet"/>
      </w:pPr>
      <w:r>
        <w:t>30-agent, 11-phase agentic pipeline covering Discovery through Closure-equivalent SDLC phases.</w:t>
      </w:r>
    </w:p>
    <w:p>
      <w:pPr>
        <w:pStyle w:val="ListBullet"/>
      </w:pPr>
      <w:r>
        <w:t>Document ingestion (.pdf/.docx/.txt/.xlsx/.xls/.csv) and structured project-context extraction.</w:t>
      </w:r>
    </w:p>
    <w:p>
      <w:pPr>
        <w:pStyle w:val="ListBullet"/>
      </w:pPr>
      <w:r>
        <w:t>Human review gates between phases, with per-agent completion enforcement.</w:t>
      </w:r>
    </w:p>
    <w:p>
      <w:pPr>
        <w:pStyle w:val="ListBullet"/>
      </w:pPr>
      <w:r>
        <w:t>Role-based access (project_owner, editor, reviewer, viewer) plus a platform admin capability.</w:t>
      </w:r>
    </w:p>
    <w:p>
      <w:pPr>
        <w:pStyle w:val="ListBullet"/>
      </w:pPr>
      <w:r>
        <w:t>Word/Markdown/Mermaid-based artifact generation, including this SDLC document set itself.</w:t>
      </w:r>
    </w:p>
    <w:p>
      <w:pPr>
        <w:pStyle w:val="ListBullet"/>
      </w:pPr>
      <w:r>
        <w:t>Deployment via Vercel (frontend) and Railway (backend services), with GitHub Actions CI.</w:t>
      </w:r>
    </w:p>
    <w:p>
      <w:pPr>
        <w:pStyle w:val="Heading1"/>
      </w:pPr>
      <w:r>
        <w:t>6. Out of Scope</w:t>
      </w:r>
    </w:p>
    <w:p>
      <w:pPr>
        <w:pStyle w:val="ListBullet"/>
      </w:pPr>
      <w:r>
        <w:t>Replacing human review and sign-off — the platform is explicitly gated, not autonomous end to end.</w:t>
      </w:r>
    </w:p>
    <w:p>
      <w:pPr>
        <w:pStyle w:val="ListBullet"/>
      </w:pPr>
      <w:r>
        <w:t>Financial/legal document generation outside the SDLC document set defined in this pack.</w:t>
      </w:r>
    </w:p>
    <w:p>
      <w:pPr>
        <w:pStyle w:val="ListBullet"/>
      </w:pPr>
      <w:r>
        <w:t>Any capability not evidenced in the current codebase (e.g., structured logging/APM, job-queue-based agent execution, autoscaling) — these are target-state recommendations elsewhere in this document set, not current scope.</w:t>
      </w:r>
    </w:p>
    <w:p>
      <w:r>
        <w:rPr>
          <w:b w:val="0"/>
          <w:i w:val="0"/>
        </w:rPr>
        <w:t>[Open question] Whether server/ (the Supabase-backed service present in the repo) is in scope for production use is unconfirmed — its production wiring was not verified this engagement.</w:t>
      </w:r>
    </w:p>
    <w:p>
      <w:pPr>
        <w:pStyle w:val="Heading1"/>
      </w:pPr>
      <w:r>
        <w:t>7. Stakeholders and RACI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Responsibility</w:t>
            </w:r>
          </w:p>
        </w:tc>
        <w:tc>
          <w:tcPr>
            <w:tcW w:type="dxa" w:w="2160"/>
          </w:tcPr>
          <w:p>
            <w:r>
              <w:rPr>
                <w:b/>
              </w:rPr>
              <w:t>R/A/C/I</w:t>
            </w:r>
          </w:p>
        </w:tc>
        <w:tc>
          <w:tcPr>
            <w:tcW w:type="dxa" w:w="2160"/>
          </w:tcPr>
          <w:p>
            <w:r>
              <w:rPr>
                <w:b/>
              </w:rPr>
              <w:t>Confidence</w:t>
            </w:r>
          </w:p>
        </w:tc>
      </w:tr>
      <w:tr>
        <w:tc>
          <w:tcPr>
            <w:tcW w:type="dxa" w:w="2160"/>
          </w:tcPr>
          <w:p>
            <w:r>
              <w:t>Executive Sponsor</w:t>
            </w:r>
          </w:p>
        </w:tc>
        <w:tc>
          <w:tcPr>
            <w:tcW w:type="dxa" w:w="2160"/>
          </w:tcPr>
          <w:p>
            <w:r>
              <w:t>Funds and champions the initiative</w:t>
            </w:r>
          </w:p>
        </w:tc>
        <w:tc>
          <w:tcPr>
            <w:tcW w:type="dxa" w:w="2160"/>
          </w:tcPr>
          <w:p>
            <w:r>
              <w:t>A</w:t>
            </w:r>
          </w:p>
        </w:tc>
        <w:tc>
          <w:tcPr>
            <w:tcW w:type="dxa" w:w="2160"/>
          </w:tcPr>
          <w:p>
            <w:r>
              <w:t>Assumption — name/title not in codebase</w:t>
            </w:r>
          </w:p>
        </w:tc>
      </w:tr>
      <w:tr>
        <w:tc>
          <w:tcPr>
            <w:tcW w:type="dxa" w:w="2160"/>
          </w:tcPr>
          <w:p>
            <w:r>
              <w:t>Product Owner</w:t>
            </w:r>
          </w:p>
        </w:tc>
        <w:tc>
          <w:tcPr>
            <w:tcW w:type="dxa" w:w="2160"/>
          </w:tcPr>
          <w:p>
            <w:r>
              <w:t>Owns roadmap and phase/agent prioritization</w:t>
            </w:r>
          </w:p>
        </w:tc>
        <w:tc>
          <w:tcPr>
            <w:tcW w:type="dxa" w:w="2160"/>
          </w:tcPr>
          <w:p>
            <w:r>
              <w:t>R</w:t>
            </w:r>
          </w:p>
        </w:tc>
        <w:tc>
          <w:tcPr>
            <w:tcW w:type="dxa" w:w="2160"/>
          </w:tcPr>
          <w:p>
            <w:r>
              <w:t>Assumption</w:t>
            </w:r>
          </w:p>
        </w:tc>
      </w:tr>
      <w:tr>
        <w:tc>
          <w:tcPr>
            <w:tcW w:type="dxa" w:w="2160"/>
          </w:tcPr>
          <w:p>
            <w:r>
              <w:t>Engineering Lead / Architect</w:t>
            </w:r>
          </w:p>
        </w:tc>
        <w:tc>
          <w:tcPr>
            <w:tcW w:type="dxa" w:w="2160"/>
          </w:tcPr>
          <w:p>
            <w:r>
              <w:t>Owns platform architecture and technical decisions</w:t>
            </w:r>
          </w:p>
        </w:tc>
        <w:tc>
          <w:tcPr>
            <w:tcW w:type="dxa" w:w="2160"/>
          </w:tcPr>
          <w:p>
            <w:r>
              <w:t>R</w:t>
            </w:r>
          </w:p>
        </w:tc>
        <w:tc>
          <w:tcPr>
            <w:tcW w:type="dxa" w:w="2160"/>
          </w:tcPr>
          <w:p>
            <w:r>
              <w:t>High — role evidenced by codebase ownership patterns</w:t>
            </w:r>
          </w:p>
        </w:tc>
      </w:tr>
      <w:tr>
        <w:tc>
          <w:tcPr>
            <w:tcW w:type="dxa" w:w="2160"/>
          </w:tcPr>
          <w:p>
            <w:r>
              <w:t>Project Owner (in-app role)</w:t>
            </w:r>
          </w:p>
        </w:tc>
        <w:tc>
          <w:tcPr>
            <w:tcW w:type="dxa" w:w="2160"/>
          </w:tcPr>
          <w:p>
            <w:r>
              <w:t>Full control of an individual project: invites, roles, agent runs, deletion</w:t>
            </w:r>
          </w:p>
        </w:tc>
        <w:tc>
          <w:tcPr>
            <w:tcW w:type="dxa" w:w="2160"/>
          </w:tcPr>
          <w:p>
            <w:r>
              <w:t>R</w:t>
            </w:r>
          </w:p>
        </w:tc>
        <w:tc>
          <w:tcPr>
            <w:tcW w:type="dxa" w:w="2160"/>
          </w:tcPr>
          <w:p>
            <w:r>
              <w:t>High — confirmed in AppRole enum</w:t>
            </w:r>
          </w:p>
        </w:tc>
      </w:tr>
      <w:tr>
        <w:tc>
          <w:tcPr>
            <w:tcW w:type="dxa" w:w="2160"/>
          </w:tcPr>
          <w:p>
            <w:r>
              <w:t>Reviewer (in-app role)</w:t>
            </w:r>
          </w:p>
        </w:tc>
        <w:tc>
          <w:tcPr>
            <w:tcW w:type="dxa" w:w="2160"/>
          </w:tcPr>
          <w:p>
            <w:r>
              <w:t>Approves review gates; cannot run agents or change settings</w:t>
            </w:r>
          </w:p>
        </w:tc>
        <w:tc>
          <w:tcPr>
            <w:tcW w:type="dxa" w:w="2160"/>
          </w:tcPr>
          <w:p>
            <w:r>
              <w:t>C</w:t>
            </w:r>
          </w:p>
        </w:tc>
        <w:tc>
          <w:tcPr>
            <w:tcW w:type="dxa" w:w="2160"/>
          </w:tcPr>
          <w:p>
            <w:r>
              <w:t>High — confirmed in ROLE_PERMISSIONS matrix</w:t>
            </w:r>
          </w:p>
        </w:tc>
      </w:tr>
      <w:tr>
        <w:tc>
          <w:tcPr>
            <w:tcW w:type="dxa" w:w="2160"/>
          </w:tcPr>
          <w:p>
            <w:r>
              <w:t>Platform Admin</w:t>
            </w:r>
          </w:p>
        </w:tc>
        <w:tc>
          <w:tcPr>
            <w:tcW w:type="dxa" w:w="2160"/>
          </w:tcPr>
          <w:p>
            <w:r>
              <w:t>Admin Panel access including Danger Zone reset</w:t>
            </w:r>
          </w:p>
        </w:tc>
        <w:tc>
          <w:tcPr>
            <w:tcW w:type="dxa" w:w="2160"/>
          </w:tcPr>
          <w:p>
            <w:r>
              <w:t>A/R</w:t>
            </w:r>
          </w:p>
        </w:tc>
        <w:tc>
          <w:tcPr>
            <w:tcW w:type="dxa" w:w="2160"/>
          </w:tcPr>
          <w:p>
            <w:r>
              <w:t>High — confirmed via isAdmin flag</w:t>
            </w:r>
          </w:p>
        </w:tc>
      </w:tr>
    </w:tbl>
    <w:p/>
    <w:p>
      <w:pPr>
        <w:pStyle w:val="Heading1"/>
      </w:pPr>
      <w:r>
        <w:t>8. Milestones</w:t>
      </w:r>
    </w:p>
    <w:p>
      <w:r>
        <w:rPr>
          <w:b w:val="0"/>
          <w:i w:val="0"/>
        </w:rPr>
        <w:t>[Current-state confirmed] This engagement (July 2026) delivered: review-gate hard-gating, CSP frame-src fix for blob-based previews, agent iteration-budget correction across 27 of 30 agents, an accessibility pass across 4 components, and this SDLC document set.</w:t>
      </w:r>
    </w:p>
    <w:p>
      <w:r>
        <w:rPr>
          <w:b w:val="0"/>
          <w:i w:val="0"/>
        </w:rPr>
        <w:t>[Open question] Longer-range milestones (GA date, next major version, target customer segment) are not documented in the codebase and are not assumed here.</w:t>
      </w:r>
    </w:p>
    <w:p>
      <w:pPr>
        <w:pStyle w:val="Heading1"/>
      </w:pPr>
      <w:r>
        <w:t>9.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LLM provider rate limits throttle pipeline throughput</w:t>
            </w:r>
          </w:p>
        </w:tc>
        <w:tc>
          <w:tcPr>
            <w:tcW w:type="dxa" w:w="2160"/>
          </w:tcPr>
          <w:p>
            <w:r>
              <w:t>Medium — slows agent completion, previously caused literal tool-call marker leaks</w:t>
            </w:r>
          </w:p>
        </w:tc>
        <w:tc>
          <w:tcPr>
            <w:tcW w:type="dxa" w:w="2160"/>
          </w:tcPr>
          <w:p>
            <w:r>
              <w:t>Confirmed — observed this engagement</w:t>
            </w:r>
          </w:p>
        </w:tc>
        <w:tc>
          <w:tcPr>
            <w:tcW w:type="dxa" w:w="2160"/>
          </w:tcPr>
          <w:p>
            <w:r>
              <w:t>Iteration budgets corrected; concurrency capped at 5 parallel agents with 1.5s stagger</w:t>
            </w:r>
          </w:p>
        </w:tc>
      </w:tr>
      <w:tr>
        <w:tc>
          <w:tcPr>
            <w:tcW w:type="dxa" w:w="2160"/>
          </w:tcPr>
          <w:p>
            <w:r>
              <w:t>Observability gap (console-log only, no APM/alerting)</w:t>
            </w:r>
          </w:p>
        </w:tc>
        <w:tc>
          <w:tcPr>
            <w:tcW w:type="dxa" w:w="2160"/>
          </w:tcPr>
          <w:p>
            <w:r>
              <w:t>High — production issues may go undetected</w:t>
            </w:r>
          </w:p>
        </w:tc>
        <w:tc>
          <w:tcPr>
            <w:tcW w:type="dxa" w:w="2160"/>
          </w:tcPr>
          <w:p>
            <w:r>
              <w:t>Confirmed via code review</w:t>
            </w:r>
          </w:p>
        </w:tc>
        <w:tc>
          <w:tcPr>
            <w:tcW w:type="dxa" w:w="2160"/>
          </w:tcPr>
          <w:p>
            <w:r>
              <w:t>Target-state: structured logging + error tracking (see Architecture Document, Section 15)</w:t>
            </w:r>
          </w:p>
        </w:tc>
      </w:tr>
      <w:tr>
        <w:tc>
          <w:tcPr>
            <w:tcW w:type="dxa" w:w="2160"/>
          </w:tcPr>
          <w:p>
            <w:r>
              <w:t>Unclear server/ production wiring</w:t>
            </w:r>
          </w:p>
        </w:tc>
        <w:tc>
          <w:tcPr>
            <w:tcW w:type="dxa" w:w="2160"/>
          </w:tcPr>
          <w:p>
            <w:r>
              <w:t>Medium — could mean data or requests silently fail to reach an intended service</w:t>
            </w:r>
          </w:p>
        </w:tc>
        <w:tc>
          <w:tcPr>
            <w:tcW w:type="dxa" w:w="2160"/>
          </w:tcPr>
          <w:p>
            <w:r>
              <w:t>Open question, not yet triggered an incident</w:t>
            </w:r>
          </w:p>
        </w:tc>
        <w:tc>
          <w:tcPr>
            <w:tcW w:type="dxa" w:w="2160"/>
          </w:tcPr>
          <w:p>
            <w:r>
              <w:t>Confirm SERVER_API_URL and Railway deployment status</w:t>
            </w:r>
          </w:p>
        </w:tc>
      </w:tr>
    </w:tbl>
    <w:p/>
    <w:p>
      <w:pPr>
        <w:pStyle w:val="Heading1"/>
      </w:pPr>
      <w:r>
        <w:t>10. Assumptions</w:t>
      </w:r>
    </w:p>
    <w:p>
      <w:pPr>
        <w:pStyle w:val="ListBullet"/>
      </w:pPr>
      <w:r>
        <w:t>[Assumption] The organization intends this platform for internal delivery-team use in the near term, based on the RBAC and admin-panel design observed, not for external customer self-service.</w:t>
      </w:r>
    </w:p>
    <w:p>
      <w:pPr>
        <w:pStyle w:val="ListBullet"/>
      </w:pPr>
      <w:r>
        <w:t>[Assumption] Executive sponsorship and budget exist, since active engineering investment (this engagement included) is ongoing, though no budget figure was found in the codebase.</w:t>
      </w:r>
    </w:p>
    <w:p>
      <w:pPr>
        <w:pStyle w:val="Heading1"/>
      </w:pPr>
      <w:r>
        <w:t>11. Decision Log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Decision</w:t>
            </w:r>
          </w:p>
        </w:tc>
        <w:tc>
          <w:tcPr>
            <w:tcW w:type="dxa" w:w="2160"/>
          </w:tcPr>
          <w:p>
            <w:r>
              <w:rPr>
                <w:b/>
              </w:rPr>
              <w:t>Rationale</w:t>
            </w:r>
          </w:p>
        </w:tc>
        <w:tc>
          <w:tcPr>
            <w:tcW w:type="dxa" w:w="2160"/>
          </w:tcPr>
          <w:p>
            <w:r>
              <w:rPr>
                <w:b/>
              </w:rPr>
              <w:t>Status</w:t>
            </w:r>
          </w:p>
        </w:tc>
      </w:tr>
      <w:tr>
        <w:tc>
          <w:tcPr>
            <w:tcW w:type="dxa" w:w="2160"/>
          </w:tcPr>
          <w:p>
            <w:r>
              <w:t>DEC-01</w:t>
            </w:r>
          </w:p>
        </w:tc>
        <w:tc>
          <w:tcPr>
            <w:tcW w:type="dxa" w:w="2160"/>
          </w:tcPr>
          <w:p>
            <w:r>
              <w:t>Review gates hard-block approval until all agents under the gate complete</w:t>
            </w:r>
          </w:p>
        </w:tc>
        <w:tc>
          <w:tcPr>
            <w:tcW w:type="dxa" w:w="2160"/>
          </w:tcPr>
          <w:p>
            <w:r>
              <w:t>Prevents approving a gate with missing agent output</w:t>
            </w:r>
          </w:p>
        </w:tc>
        <w:tc>
          <w:tcPr>
            <w:tcW w:type="dxa" w:w="2160"/>
          </w:tcPr>
          <w:p>
            <w:r>
              <w:t>Implemented</w:t>
            </w:r>
          </w:p>
        </w:tc>
      </w:tr>
      <w:tr>
        <w:tc>
          <w:tcPr>
            <w:tcW w:type="dxa" w:w="2160"/>
          </w:tcPr>
          <w:p>
            <w:r>
              <w:t>DEC-02</w:t>
            </w:r>
          </w:p>
        </w:tc>
        <w:tc>
          <w:tcPr>
            <w:tcW w:type="dxa" w:w="2160"/>
          </w:tcPr>
          <w:p>
            <w:r>
              <w:t>CSP frame-src explicitly allows blob: for preview iframes</w:t>
            </w:r>
          </w:p>
        </w:tc>
        <w:tc>
          <w:tcPr>
            <w:tcW w:type="dxa" w:w="2160"/>
          </w:tcPr>
          <w:p>
            <w:r>
              <w:t>default-src fallback blocked Working Prototype/UX Mockups previews</w:t>
            </w:r>
          </w:p>
        </w:tc>
        <w:tc>
          <w:tcPr>
            <w:tcW w:type="dxa" w:w="2160"/>
          </w:tcPr>
          <w:p>
            <w:r>
              <w:t>Implemented, pending next Vercel deploy</w:t>
            </w:r>
          </w:p>
        </w:tc>
      </w:tr>
      <w:tr>
        <w:tc>
          <w:tcPr>
            <w:tcW w:type="dxa" w:w="2160"/>
          </w:tcPr>
          <w:p>
            <w:r>
              <w:t>DEC-03</w:t>
            </w:r>
          </w:p>
        </w:tc>
        <w:tc>
          <w:tcPr>
            <w:tcW w:type="dxa" w:w="2160"/>
          </w:tcPr>
          <w:p>
            <w:r>
              <w:t>Agent iteration budgets sized per actual STEP sequence, not a flat default</w:t>
            </w:r>
          </w:p>
        </w:tc>
        <w:tc>
          <w:tcPr>
            <w:tcW w:type="dxa" w:w="2160"/>
          </w:tcPr>
          <w:p>
            <w:r>
              <w:t>Prevented forced-finalization fallback from leaking tool-call marker text</w:t>
            </w:r>
          </w:p>
        </w:tc>
        <w:tc>
          <w:tcPr>
            <w:tcW w:type="dxa" w:w="2160"/>
          </w:tcPr>
          <w:p>
            <w:r>
              <w:t>Implemented</w:t>
            </w:r>
          </w:p>
        </w:tc>
      </w:tr>
    </w:tbl>
    <w:p/>
    <w:p>
      <w:pPr>
        <w:pStyle w:val="Heading2"/>
      </w:pPr>
      <w:r>
        <w:t>Required Diagrams</w:t>
      </w:r>
    </w:p>
    <w:p>
      <w:pPr>
        <w:pStyle w:val="Heading3"/>
      </w:pPr>
      <w:r>
        <w:t>Diagram 1: Scope Boundary</w:t>
      </w:r>
    </w:p>
    <w:p>
      <w:r>
        <w:rPr>
          <w:b w:val="0"/>
          <w:i w:val="0"/>
        </w:rPr>
        <w:t>Shows what is inside versus outside this charter's scope.</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InScope[In Scope]</w:t>
      </w:r>
    </w:p>
    <w:p>
      <w:pPr>
        <w:shd w:val="clear" w:color="auto" w:fill="F2F2F2"/>
        <w:spacing w:before="0" w:after="0"/>
      </w:pPr>
      <w:r>
        <w:rPr>
          <w:rFonts w:ascii="Consolas" w:hAnsi="Consolas"/>
          <w:color w:val="202020"/>
          <w:sz w:val="18"/>
        </w:rPr>
        <w:t xml:space="preserve">    Pipeline[Agent Pipeline 30 Agents]</w:t>
      </w:r>
    </w:p>
    <w:p>
      <w:pPr>
        <w:shd w:val="clear" w:color="auto" w:fill="F2F2F2"/>
        <w:spacing w:before="0" w:after="0"/>
      </w:pPr>
      <w:r>
        <w:rPr>
          <w:rFonts w:ascii="Consolas" w:hAnsi="Consolas"/>
          <w:color w:val="202020"/>
          <w:sz w:val="18"/>
        </w:rPr>
        <w:t xml:space="preserve">    Ingestion[Document Ingestion]</w:t>
      </w:r>
    </w:p>
    <w:p>
      <w:pPr>
        <w:shd w:val="clear" w:color="auto" w:fill="F2F2F2"/>
        <w:spacing w:before="0" w:after="0"/>
      </w:pPr>
      <w:r>
        <w:rPr>
          <w:rFonts w:ascii="Consolas" w:hAnsi="Consolas"/>
          <w:color w:val="202020"/>
          <w:sz w:val="18"/>
        </w:rPr>
        <w:t xml:space="preserve">    Gates[Review Gates]</w:t>
      </w:r>
    </w:p>
    <w:p>
      <w:pPr>
        <w:shd w:val="clear" w:color="auto" w:fill="F2F2F2"/>
        <w:spacing w:before="0" w:after="0"/>
      </w:pPr>
      <w:r>
        <w:rPr>
          <w:rFonts w:ascii="Consolas" w:hAnsi="Consolas"/>
          <w:color w:val="202020"/>
          <w:sz w:val="18"/>
        </w:rPr>
        <w:t xml:space="preserve">    RBAC[Role Based Access]</w:t>
      </w:r>
    </w:p>
    <w:p>
      <w:pPr>
        <w:shd w:val="clear" w:color="auto" w:fill="F2F2F2"/>
        <w:spacing w:before="0" w:after="0"/>
      </w:pPr>
      <w:r>
        <w:rPr>
          <w:rFonts w:ascii="Consolas" w:hAnsi="Consolas"/>
          <w:color w:val="202020"/>
          <w:sz w:val="18"/>
        </w:rPr>
        <w:t xml:space="preserve">    OutScope[Out of Scope]</w:t>
      </w:r>
    </w:p>
    <w:p>
      <w:pPr>
        <w:shd w:val="clear" w:color="auto" w:fill="F2F2F2"/>
        <w:spacing w:before="0" w:after="0"/>
      </w:pPr>
      <w:r>
        <w:rPr>
          <w:rFonts w:ascii="Consolas" w:hAnsi="Consolas"/>
          <w:color w:val="202020"/>
          <w:sz w:val="18"/>
        </w:rPr>
        <w:t xml:space="preserve">    Auto[Full Autonomy No Human Gate]</w:t>
      </w:r>
    </w:p>
    <w:p>
      <w:pPr>
        <w:shd w:val="clear" w:color="auto" w:fill="F2F2F2"/>
        <w:spacing w:before="0" w:after="0"/>
      </w:pPr>
      <w:r>
        <w:rPr>
          <w:rFonts w:ascii="Consolas" w:hAnsi="Consolas"/>
          <w:color w:val="202020"/>
          <w:sz w:val="18"/>
        </w:rPr>
        <w:t xml:space="preserve">    ServerSvc[server Production Wiring]</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InScope --&gt; Pipeline</w:t>
      </w:r>
    </w:p>
    <w:p>
      <w:pPr>
        <w:shd w:val="clear" w:color="auto" w:fill="F2F2F2"/>
        <w:spacing w:before="0" w:after="0"/>
      </w:pPr>
      <w:r>
        <w:rPr>
          <w:rFonts w:ascii="Consolas" w:hAnsi="Consolas"/>
          <w:color w:val="202020"/>
          <w:sz w:val="18"/>
        </w:rPr>
        <w:t xml:space="preserve">    InScope --&gt; Ingestion</w:t>
      </w:r>
    </w:p>
    <w:p>
      <w:pPr>
        <w:shd w:val="clear" w:color="auto" w:fill="F2F2F2"/>
        <w:spacing w:before="0" w:after="0"/>
      </w:pPr>
      <w:r>
        <w:rPr>
          <w:rFonts w:ascii="Consolas" w:hAnsi="Consolas"/>
          <w:color w:val="202020"/>
          <w:sz w:val="18"/>
        </w:rPr>
        <w:t xml:space="preserve">    InScope --&gt; Gates</w:t>
      </w:r>
    </w:p>
    <w:p>
      <w:pPr>
        <w:shd w:val="clear" w:color="auto" w:fill="F2F2F2"/>
        <w:spacing w:before="0" w:after="0"/>
      </w:pPr>
      <w:r>
        <w:rPr>
          <w:rFonts w:ascii="Consolas" w:hAnsi="Consolas"/>
          <w:color w:val="202020"/>
          <w:sz w:val="18"/>
        </w:rPr>
        <w:t xml:space="preserve">    InScope --&gt; RBAC</w:t>
      </w:r>
    </w:p>
    <w:p>
      <w:pPr>
        <w:shd w:val="clear" w:color="auto" w:fill="F2F2F2"/>
        <w:spacing w:before="0" w:after="0"/>
      </w:pPr>
      <w:r>
        <w:rPr>
          <w:rFonts w:ascii="Consolas" w:hAnsi="Consolas"/>
          <w:color w:val="202020"/>
          <w:sz w:val="18"/>
        </w:rPr>
        <w:t xml:space="preserve">    OutScope --&gt; Auto</w:t>
      </w:r>
    </w:p>
    <w:p>
      <w:pPr>
        <w:shd w:val="clear" w:color="auto" w:fill="F2F2F2"/>
        <w:spacing w:before="0" w:after="0"/>
      </w:pPr>
      <w:r>
        <w:rPr>
          <w:rFonts w:ascii="Consolas" w:hAnsi="Consolas"/>
          <w:color w:val="202020"/>
          <w:sz w:val="18"/>
        </w:rPr>
        <w:t xml:space="preserve">    OutScope --&gt; ServerSvc</w:t>
      </w:r>
    </w:p>
    <w:p>
      <w:pPr>
        <w:shd w:val="clear" w:color="auto" w:fill="F2F2F2"/>
        <w:spacing w:before="0" w:after="0"/>
      </w:pPr>
      <w:r>
        <w:rPr>
          <w:rFonts w:ascii="Consolas" w:hAnsi="Consolas"/>
          <w:color w:val="202020"/>
          <w:sz w:val="18"/>
        </w:rPr>
        <w:t>```</w:t>
      </w:r>
    </w:p>
    <w:p/>
    <w:p>
      <w:r>
        <w:rPr>
          <w:b w:val="0"/>
          <w:i w:val="0"/>
        </w:rPr>
        <w:t>The pipeline, ingestion, review gates, and RBAC are confirmed in-scope and implemented. Full autonomy without human gates is explicitly out of scope by design. The server service's production role is an open question, shown separately rather than assumed in either direction.</w:t>
      </w:r>
    </w:p>
    <w:p>
      <w:r>
        <w:rPr>
          <w:b w:val="0"/>
          <w:i/>
        </w:rPr>
        <w:t>Confidence: High for in-scope items; the out-of-scope server item reflects an open question, not a confirmed exclusion.</w:t>
      </w:r>
    </w:p>
    <w:p/>
    <w:p>
      <w:pPr>
        <w:pStyle w:val="Heading3"/>
      </w:pPr>
      <w:r>
        <w:t>Diagram 2: Stakeholder Governance Flow</w:t>
      </w:r>
    </w:p>
    <w:p>
      <w:r>
        <w:rPr>
          <w:b w:val="0"/>
          <w:i w:val="0"/>
        </w:rPr>
        <w:t>Shows how a decision or change request should flow through governance roles.</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Requestor[Requestor]</w:t>
      </w:r>
    </w:p>
    <w:p>
      <w:pPr>
        <w:shd w:val="clear" w:color="auto" w:fill="F2F2F2"/>
        <w:spacing w:before="0" w:after="0"/>
      </w:pPr>
      <w:r>
        <w:rPr>
          <w:rFonts w:ascii="Consolas" w:hAnsi="Consolas"/>
          <w:color w:val="202020"/>
          <w:sz w:val="18"/>
        </w:rPr>
        <w:t xml:space="preserve">    ProductOwner[Product Owner]</w:t>
      </w:r>
    </w:p>
    <w:p>
      <w:pPr>
        <w:shd w:val="clear" w:color="auto" w:fill="F2F2F2"/>
        <w:spacing w:before="0" w:after="0"/>
      </w:pPr>
      <w:r>
        <w:rPr>
          <w:rFonts w:ascii="Consolas" w:hAnsi="Consolas"/>
          <w:color w:val="202020"/>
          <w:sz w:val="18"/>
        </w:rPr>
        <w:t xml:space="preserve">    EngLead[Engineering Lead]</w:t>
      </w:r>
    </w:p>
    <w:p>
      <w:pPr>
        <w:shd w:val="clear" w:color="auto" w:fill="F2F2F2"/>
        <w:spacing w:before="0" w:after="0"/>
      </w:pPr>
      <w:r>
        <w:rPr>
          <w:rFonts w:ascii="Consolas" w:hAnsi="Consolas"/>
          <w:color w:val="202020"/>
          <w:sz w:val="18"/>
        </w:rPr>
        <w:t xml:space="preserve">    Sponsor[Executive Sponsor]</w:t>
      </w:r>
    </w:p>
    <w:p>
      <w:pPr>
        <w:shd w:val="clear" w:color="auto" w:fill="F2F2F2"/>
        <w:spacing w:before="0" w:after="0"/>
      </w:pPr>
      <w:r>
        <w:rPr>
          <w:rFonts w:ascii="Consolas" w:hAnsi="Consolas"/>
          <w:color w:val="202020"/>
          <w:sz w:val="18"/>
        </w:rPr>
        <w:t xml:space="preserve">    Decision[Decision Recorded]</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Requestor --&gt; ProductOwner</w:t>
      </w:r>
    </w:p>
    <w:p>
      <w:pPr>
        <w:shd w:val="clear" w:color="auto" w:fill="F2F2F2"/>
        <w:spacing w:before="0" w:after="0"/>
      </w:pPr>
      <w:r>
        <w:rPr>
          <w:rFonts w:ascii="Consolas" w:hAnsi="Consolas"/>
          <w:color w:val="202020"/>
          <w:sz w:val="18"/>
        </w:rPr>
        <w:t xml:space="preserve">    ProductOwner --&gt; EngLead</w:t>
      </w:r>
    </w:p>
    <w:p>
      <w:pPr>
        <w:shd w:val="clear" w:color="auto" w:fill="F2F2F2"/>
        <w:spacing w:before="0" w:after="0"/>
      </w:pPr>
      <w:r>
        <w:rPr>
          <w:rFonts w:ascii="Consolas" w:hAnsi="Consolas"/>
          <w:color w:val="202020"/>
          <w:sz w:val="18"/>
        </w:rPr>
        <w:t xml:space="preserve">    EngLead --&gt; Sponsor</w:t>
      </w:r>
    </w:p>
    <w:p>
      <w:pPr>
        <w:shd w:val="clear" w:color="auto" w:fill="F2F2F2"/>
        <w:spacing w:before="0" w:after="0"/>
      </w:pPr>
      <w:r>
        <w:rPr>
          <w:rFonts w:ascii="Consolas" w:hAnsi="Consolas"/>
          <w:color w:val="202020"/>
          <w:sz w:val="18"/>
        </w:rPr>
        <w:t xml:space="preserve">    Sponsor --&gt; Decision</w:t>
      </w:r>
    </w:p>
    <w:p>
      <w:pPr>
        <w:shd w:val="clear" w:color="auto" w:fill="F2F2F2"/>
        <w:spacing w:before="0" w:after="0"/>
      </w:pPr>
      <w:r>
        <w:rPr>
          <w:rFonts w:ascii="Consolas" w:hAnsi="Consolas"/>
          <w:color w:val="202020"/>
          <w:sz w:val="18"/>
        </w:rPr>
        <w:t>```</w:t>
      </w:r>
    </w:p>
    <w:p/>
    <w:p>
      <w:r>
        <w:rPr>
          <w:b w:val="0"/>
          <w:i w:val="0"/>
        </w:rPr>
        <w:t>This flow is a recommended governance path, not one instrumented in code; the in-app project_owner, editor, reviewer, and viewer roles govern per-project actions, not organizational sign-off.</w:t>
      </w:r>
    </w:p>
    <w:p>
      <w:r>
        <w:rPr>
          <w:b w:val="0"/>
          <w:i/>
        </w:rPr>
        <w:t>Assumptions: Assumes a conventional product-owner/eng-lead/sponsor chain; no organizational chart was available.</w:t>
      </w:r>
    </w:p>
    <w:p>
      <w:r>
        <w:rPr>
          <w:b w:val="0"/>
          <w:i/>
        </w:rPr>
        <w:t>Confidence: Low-Medium — organizational structure assumed, not confirmed.</w:t>
      </w:r>
    </w:p>
    <w:p/>
    <w:p>
      <w:pPr>
        <w:pStyle w:val="Heading3"/>
      </w:pPr>
      <w:r>
        <w:t>Diagram 3: Milestone Delivery Flow</w:t>
      </w:r>
    </w:p>
    <w:p>
      <w:r>
        <w:rPr>
          <w:b w:val="0"/>
          <w:i w:val="0"/>
        </w:rPr>
        <w:t>Shows the phase-gate delivery model the platform itself enforces for any project running through it.</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Phase1[Phase Agents Run]</w:t>
      </w:r>
    </w:p>
    <w:p>
      <w:pPr>
        <w:shd w:val="clear" w:color="auto" w:fill="F2F2F2"/>
        <w:spacing w:before="0" w:after="0"/>
      </w:pPr>
      <w:r>
        <w:rPr>
          <w:rFonts w:ascii="Consolas" w:hAnsi="Consolas"/>
          <w:color w:val="202020"/>
          <w:sz w:val="18"/>
        </w:rPr>
        <w:t xml:space="preserve">    Complete[All Agents Complete]</w:t>
      </w:r>
    </w:p>
    <w:p>
      <w:pPr>
        <w:shd w:val="clear" w:color="auto" w:fill="F2F2F2"/>
        <w:spacing w:before="0" w:after="0"/>
      </w:pPr>
      <w:r>
        <w:rPr>
          <w:rFonts w:ascii="Consolas" w:hAnsi="Consolas"/>
          <w:color w:val="202020"/>
          <w:sz w:val="18"/>
        </w:rPr>
        <w:t xml:space="preserve">    Gate[Review Gate]</w:t>
      </w:r>
    </w:p>
    <w:p>
      <w:pPr>
        <w:shd w:val="clear" w:color="auto" w:fill="F2F2F2"/>
        <w:spacing w:before="0" w:after="0"/>
      </w:pPr>
      <w:r>
        <w:rPr>
          <w:rFonts w:ascii="Consolas" w:hAnsi="Consolas"/>
          <w:color w:val="202020"/>
          <w:sz w:val="18"/>
        </w:rPr>
        <w:t xml:space="preserve">    Approve[Approve and Continue]</w:t>
      </w:r>
    </w:p>
    <w:p>
      <w:pPr>
        <w:shd w:val="clear" w:color="auto" w:fill="F2F2F2"/>
        <w:spacing w:before="0" w:after="0"/>
      </w:pPr>
      <w:r>
        <w:rPr>
          <w:rFonts w:ascii="Consolas" w:hAnsi="Consolas"/>
          <w:color w:val="202020"/>
          <w:sz w:val="18"/>
        </w:rPr>
        <w:t xml:space="preserve">    NextPhase[Next Phase]</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Phase1 --&gt; Complete</w:t>
      </w:r>
    </w:p>
    <w:p>
      <w:pPr>
        <w:shd w:val="clear" w:color="auto" w:fill="F2F2F2"/>
        <w:spacing w:before="0" w:after="0"/>
      </w:pPr>
      <w:r>
        <w:rPr>
          <w:rFonts w:ascii="Consolas" w:hAnsi="Consolas"/>
          <w:color w:val="202020"/>
          <w:sz w:val="18"/>
        </w:rPr>
        <w:t xml:space="preserve">    Complete --&gt; Gate</w:t>
      </w:r>
    </w:p>
    <w:p>
      <w:pPr>
        <w:shd w:val="clear" w:color="auto" w:fill="F2F2F2"/>
        <w:spacing w:before="0" w:after="0"/>
      </w:pPr>
      <w:r>
        <w:rPr>
          <w:rFonts w:ascii="Consolas" w:hAnsi="Consolas"/>
          <w:color w:val="202020"/>
          <w:sz w:val="18"/>
        </w:rPr>
        <w:t xml:space="preserve">    Gate --&gt; Approve</w:t>
      </w:r>
    </w:p>
    <w:p>
      <w:pPr>
        <w:shd w:val="clear" w:color="auto" w:fill="F2F2F2"/>
        <w:spacing w:before="0" w:after="0"/>
      </w:pPr>
      <w:r>
        <w:rPr>
          <w:rFonts w:ascii="Consolas" w:hAnsi="Consolas"/>
          <w:color w:val="202020"/>
          <w:sz w:val="18"/>
        </w:rPr>
        <w:t xml:space="preserve">    Approve --&gt; NextPhase</w:t>
      </w:r>
    </w:p>
    <w:p>
      <w:pPr>
        <w:shd w:val="clear" w:color="auto" w:fill="F2F2F2"/>
        <w:spacing w:before="0" w:after="0"/>
      </w:pPr>
      <w:r>
        <w:rPr>
          <w:rFonts w:ascii="Consolas" w:hAnsi="Consolas"/>
          <w:color w:val="202020"/>
          <w:sz w:val="18"/>
        </w:rPr>
        <w:t>```</w:t>
      </w:r>
    </w:p>
    <w:p/>
    <w:p>
      <w:r>
        <w:rPr>
          <w:b w:val="0"/>
          <w:i w:val="0"/>
        </w:rPr>
        <w:t>This is the actual enforced flow in ReviewGateModal.tsx: Approve and Continue is disabled until every agent under the gate reaches a complete status, confirmed and fixed during this engagement.</w:t>
      </w:r>
    </w:p>
    <w:p>
      <w:r>
        <w:rPr>
          <w:b w:val="0"/>
          <w:i/>
        </w:rPr>
        <w:t>Confidence: High — directly implemented and verified.</w:t>
      </w:r>
    </w:p>
    <w:p/>
    <w:p>
      <w:pPr>
        <w:pStyle w:val="Heading1"/>
      </w:pPr>
      <w:r>
        <w:t>12. Confidence Level</w:t>
      </w:r>
    </w:p>
    <w:p>
      <w:r>
        <w:rPr>
          <w:b w:val="0"/>
          <w:i w:val="0"/>
        </w:rPr>
        <w:t>Overall confidence: 0.85. High confidence on scope, architecture, RBAC, and review-gate governance sections (directly grounded in code reviewed this engagement). Lower confidence on business-facing sections (sponsor, ROI, budget, milestones/dates) since no business-case materials were available to verify against — these are explicitly marked as assumptions or open questions rather than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