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Stakeholder Register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Stakeholder Inventory</w:t>
      </w:r>
    </w:p>
    <w:p>
      <w:r>
        <w:rPr>
          <w:b w:val="0"/>
          <w:i w:val="0"/>
        </w:rPr>
        <w:t>[Current-state confirmed] In-app roles (project_owner, editor, reviewer, viewer, platform admin) are directly confirmed in AppRole and the isAdmin flag. Organizational stakeholders (sponsor, product owner by name) are not present in the codebase and are marked as assumptions below.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160"/>
          </w:tcPr>
          <w:p>
            <w:r>
              <w:t>Project Owner (in-app role)</w:t>
            </w:r>
          </w:p>
        </w:tc>
        <w:tc>
          <w:tcPr>
            <w:tcW w:type="dxa" w:w="2160"/>
          </w:tcPr>
          <w:p>
            <w:r>
              <w:t>Internal / direct user</w:t>
            </w:r>
          </w:p>
        </w:tc>
        <w:tc>
          <w:tcPr>
            <w:tcW w:type="dxa" w:w="2160"/>
          </w:tcPr>
          <w:p>
            <w:r>
              <w:t>Full control of a project's lifecycle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Editor (in-app role)</w:t>
            </w:r>
          </w:p>
        </w:tc>
        <w:tc>
          <w:tcPr>
            <w:tcW w:type="dxa" w:w="2160"/>
          </w:tcPr>
          <w:p>
            <w:r>
              <w:t>Internal / direct user</w:t>
            </w:r>
          </w:p>
        </w:tc>
        <w:tc>
          <w:tcPr>
            <w:tcW w:type="dxa" w:w="2160"/>
          </w:tcPr>
          <w:p>
            <w:r>
              <w:t>Runs agents, uploads documents, edits settings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Reviewer (in-app role)</w:t>
            </w:r>
          </w:p>
        </w:tc>
        <w:tc>
          <w:tcPr>
            <w:tcW w:type="dxa" w:w="2160"/>
          </w:tcPr>
          <w:p>
            <w:r>
              <w:t>Internal / direct user</w:t>
            </w:r>
          </w:p>
        </w:tc>
        <w:tc>
          <w:tcPr>
            <w:tcW w:type="dxa" w:w="2160"/>
          </w:tcPr>
          <w:p>
            <w:r>
              <w:t>Approves or blocks review gates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Viewer (in-app role)</w:t>
            </w:r>
          </w:p>
        </w:tc>
        <w:tc>
          <w:tcPr>
            <w:tcW w:type="dxa" w:w="2160"/>
          </w:tcPr>
          <w:p>
            <w:r>
              <w:t>Internal / direct user</w:t>
            </w:r>
          </w:p>
        </w:tc>
        <w:tc>
          <w:tcPr>
            <w:tcW w:type="dxa" w:w="2160"/>
          </w:tcPr>
          <w:p>
            <w:r>
              <w:t>Read access to outputs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Platform Admin</w:t>
            </w:r>
          </w:p>
        </w:tc>
        <w:tc>
          <w:tcPr>
            <w:tcW w:type="dxa" w:w="2160"/>
          </w:tcPr>
          <w:p>
            <w:r>
              <w:t>Internal / operator</w:t>
            </w:r>
          </w:p>
        </w:tc>
        <w:tc>
          <w:tcPr>
            <w:tcW w:type="dxa" w:w="2160"/>
          </w:tcPr>
          <w:p>
            <w:r>
              <w:t>Cross-project administration, Danger Zone reset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Executive Sponsor</w:t>
            </w:r>
          </w:p>
        </w:tc>
        <w:tc>
          <w:tcPr>
            <w:tcW w:type="dxa" w:w="2160"/>
          </w:tcPr>
          <w:p>
            <w:r>
              <w:t>Organizational</w:t>
            </w:r>
          </w:p>
        </w:tc>
        <w:tc>
          <w:tcPr>
            <w:tcW w:type="dxa" w:w="2160"/>
          </w:tcPr>
          <w:p>
            <w:r>
              <w:t>Funding and strategic backing</w:t>
            </w:r>
          </w:p>
        </w:tc>
        <w:tc>
          <w:tcPr>
            <w:tcW w:type="dxa" w:w="2160"/>
          </w:tcPr>
          <w:p>
            <w:r>
              <w:t>Assumption — no name/title in codebase</w:t>
            </w:r>
          </w:p>
        </w:tc>
      </w:tr>
      <w:tr>
        <w:tc>
          <w:tcPr>
            <w:tcW w:type="dxa" w:w="2160"/>
          </w:tcPr>
          <w:p>
            <w:r>
              <w:t>Engineering Director / Architecture Lead</w:t>
            </w:r>
          </w:p>
        </w:tc>
        <w:tc>
          <w:tcPr>
            <w:tcW w:type="dxa" w:w="2160"/>
          </w:tcPr>
          <w:p>
            <w:r>
              <w:t>Organizational</w:t>
            </w:r>
          </w:p>
        </w:tc>
        <w:tc>
          <w:tcPr>
            <w:tcW w:type="dxa" w:w="2160"/>
          </w:tcPr>
          <w:p>
            <w:r>
              <w:t>Technical direction and quality bar</w:t>
            </w:r>
          </w:p>
        </w:tc>
        <w:tc>
          <w:tcPr>
            <w:tcW w:type="dxa" w:w="2160"/>
          </w:tcPr>
          <w:p>
            <w:r>
              <w:t>Assumption</w:t>
            </w:r>
          </w:p>
        </w:tc>
      </w:tr>
    </w:tbl>
    <w:p/>
    <w:p>
      <w:pPr>
        <w:pStyle w:val="Heading1"/>
      </w:pPr>
      <w:r>
        <w:t>2. Influence and Interest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Influence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Engagement Priority</w:t>
            </w:r>
          </w:p>
        </w:tc>
      </w:tr>
      <w:tr>
        <w:tc>
          <w:tcPr>
            <w:tcW w:type="dxa" w:w="2160"/>
          </w:tcPr>
          <w:p>
            <w:r>
              <w:t>Project Owner (in-app)</w:t>
            </w:r>
          </w:p>
        </w:tc>
        <w:tc>
          <w:tcPr>
            <w:tcW w:type="dxa" w:w="2160"/>
          </w:tcPr>
          <w:p>
            <w:r>
              <w:t>High (within a project)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Manage closely</w:t>
            </w:r>
          </w:p>
        </w:tc>
      </w:tr>
      <w:tr>
        <w:tc>
          <w:tcPr>
            <w:tcW w:type="dxa" w:w="2160"/>
          </w:tcPr>
          <w:p>
            <w:r>
              <w:t>Reviewer (in-app)</w:t>
            </w:r>
          </w:p>
        </w:tc>
        <w:tc>
          <w:tcPr>
            <w:tcW w:type="dxa" w:w="2160"/>
          </w:tcPr>
          <w:p>
            <w:r>
              <w:t>Medium (can block gates)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Keep informed</w:t>
            </w:r>
          </w:p>
        </w:tc>
      </w:tr>
      <w:tr>
        <w:tc>
          <w:tcPr>
            <w:tcW w:type="dxa" w:w="2160"/>
          </w:tcPr>
          <w:p>
            <w:r>
              <w:t>Platform Admin</w:t>
            </w:r>
          </w:p>
        </w:tc>
        <w:tc>
          <w:tcPr>
            <w:tcW w:type="dxa" w:w="2160"/>
          </w:tcPr>
          <w:p>
            <w:r>
              <w:t>High (platform-wide)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Manage closely</w:t>
            </w:r>
          </w:p>
        </w:tc>
      </w:tr>
      <w:tr>
        <w:tc>
          <w:tcPr>
            <w:tcW w:type="dxa" w:w="2160"/>
          </w:tcPr>
          <w:p>
            <w:r>
              <w:t>Executive Sponsor</w:t>
            </w:r>
          </w:p>
        </w:tc>
        <w:tc>
          <w:tcPr>
            <w:tcW w:type="dxa" w:w="2160"/>
          </w:tcPr>
          <w:p>
            <w:r>
              <w:t>High (assumed)</w:t>
            </w:r>
          </w:p>
        </w:tc>
        <w:tc>
          <w:tcPr>
            <w:tcW w:type="dxa" w:w="2160"/>
          </w:tcPr>
          <w:p>
            <w:r>
              <w:t>Medium (assumed)</w:t>
            </w:r>
          </w:p>
        </w:tc>
        <w:tc>
          <w:tcPr>
            <w:tcW w:type="dxa" w:w="2160"/>
          </w:tcPr>
          <w:p>
            <w:r>
              <w:t>Manage closely</w:t>
            </w:r>
          </w:p>
        </w:tc>
      </w:tr>
    </w:tbl>
    <w:p/>
    <w:p>
      <w:pPr>
        <w:pStyle w:val="Heading1"/>
      </w:pPr>
      <w:r>
        <w:t>3. Decision Rights</w:t>
      </w:r>
    </w:p>
    <w:p>
      <w:pPr>
        <w:pStyle w:val="ListBullet"/>
      </w:pPr>
      <w:r>
        <w:t>Project-level decisions (invite, remove, change role, delete project, run agents) rest with the project_owner role — confirmed in ROLE_PERMISSIONS.</w:t>
      </w:r>
    </w:p>
    <w:p>
      <w:pPr>
        <w:pStyle w:val="ListBullet"/>
      </w:pPr>
      <w:r>
        <w:t>Gate approval rests with any role permitted to reach the review gate action, gated additionally by the all-agents-complete check enforced in ReviewGateModal.tsx.</w:t>
      </w:r>
    </w:p>
    <w:p>
      <w:pPr>
        <w:pStyle w:val="ListBullet"/>
      </w:pPr>
      <w:r>
        <w:t>Platform-wide administrative actions (Danger Zone reset) rest with isAdmin, independent of any project's role assignments.</w:t>
      </w:r>
    </w:p>
    <w:p>
      <w:pPr>
        <w:pStyle w:val="ListBullet"/>
      </w:pPr>
      <w:r>
        <w:t>Invite-based role assignment excludes project_owner — INVITABLE_APP_ROLES confirms owners cannot be created via invite link, only editor/reviewer/viewer.</w:t>
      </w:r>
    </w:p>
    <w:p>
      <w:pPr>
        <w:pStyle w:val="Heading1"/>
      </w:pPr>
      <w:r>
        <w:t>4. Communication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Cadence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1728"/>
          </w:tcPr>
          <w:p>
            <w:r>
              <w:t>Reviewers</w:t>
            </w:r>
          </w:p>
        </w:tc>
        <w:tc>
          <w:tcPr>
            <w:tcW w:type="dxa" w:w="1728"/>
          </w:tcPr>
          <w:p>
            <w:r>
              <w:t>Gate-ready notifications</w:t>
            </w:r>
          </w:p>
        </w:tc>
        <w:tc>
          <w:tcPr>
            <w:tcW w:type="dxa" w:w="1728"/>
          </w:tcPr>
          <w:p>
            <w:r>
              <w:t>In-app (assumed; no notification system found in codebase)</w:t>
            </w:r>
          </w:p>
        </w:tc>
        <w:tc>
          <w:tcPr>
            <w:tcW w:type="dxa" w:w="1728"/>
          </w:tcPr>
          <w:p>
            <w:r>
              <w:t>Event-driven</w:t>
            </w:r>
          </w:p>
        </w:tc>
        <w:tc>
          <w:tcPr>
            <w:tcW w:type="dxa" w:w="1728"/>
          </w:tcPr>
          <w:p>
            <w:r>
              <w:t>Open question — no notification/email system confirmed</w:t>
            </w:r>
          </w:p>
        </w:tc>
      </w:tr>
      <w:tr>
        <w:tc>
          <w:tcPr>
            <w:tcW w:type="dxa" w:w="1728"/>
          </w:tcPr>
          <w:p>
            <w:r>
              <w:t>Platform Admins</w:t>
            </w:r>
          </w:p>
        </w:tc>
        <w:tc>
          <w:tcPr>
            <w:tcW w:type="dxa" w:w="1728"/>
          </w:tcPr>
          <w:p>
            <w:r>
              <w:t>Reset/Danger Zone action outcomes</w:t>
            </w:r>
          </w:p>
        </w:tc>
        <w:tc>
          <w:tcPr>
            <w:tcW w:type="dxa" w:w="1728"/>
          </w:tcPr>
          <w:p>
            <w:r>
              <w:t>In-app confirmation dialog</w:t>
            </w:r>
          </w:p>
        </w:tc>
        <w:tc>
          <w:tcPr>
            <w:tcW w:type="dxa" w:w="1728"/>
          </w:tcPr>
          <w:p>
            <w:r>
              <w:t>Event-driven</w:t>
            </w:r>
          </w:p>
        </w:tc>
        <w:tc>
          <w:tcPr>
            <w:tcW w:type="dxa" w:w="1728"/>
          </w:tcPr>
          <w:p>
            <w:r>
              <w:t>High — confirmed in AdminPanel.tsx</w:t>
            </w:r>
          </w:p>
        </w:tc>
      </w:tr>
      <w:tr>
        <w:tc>
          <w:tcPr>
            <w:tcW w:type="dxa" w:w="1728"/>
          </w:tcPr>
          <w:p>
            <w:r>
              <w:t>Executive Sponsor</w:t>
            </w:r>
          </w:p>
        </w:tc>
        <w:tc>
          <w:tcPr>
            <w:tcW w:type="dxa" w:w="1728"/>
          </w:tcPr>
          <w:p>
            <w:r>
              <w:t>Progress and risk updates</w:t>
            </w:r>
          </w:p>
        </w:tc>
        <w:tc>
          <w:tcPr>
            <w:tcW w:type="dxa" w:w="1728"/>
          </w:tcPr>
          <w:p>
            <w:r>
              <w:t>Assumed periodic reporting</w:t>
            </w:r>
          </w:p>
        </w:tc>
        <w:tc>
          <w:tcPr>
            <w:tcW w:type="dxa" w:w="1728"/>
          </w:tcPr>
          <w:p>
            <w:r>
              <w:t>Assumed monthly</w:t>
            </w:r>
          </w:p>
        </w:tc>
        <w:tc>
          <w:tcPr>
            <w:tcW w:type="dxa" w:w="1728"/>
          </w:tcPr>
          <w:p>
            <w:r>
              <w:t>Assumption — no reporting cadence found</w:t>
            </w:r>
          </w:p>
        </w:tc>
      </w:tr>
    </w:tbl>
    <w:p/>
    <w:p>
      <w:pPr>
        <w:pStyle w:val="Heading1"/>
      </w:pPr>
      <w:r>
        <w:t>5. Escalation Paths</w:t>
      </w:r>
    </w:p>
    <w:p>
      <w:pPr>
        <w:pStyle w:val="ListBullet"/>
      </w:pPr>
      <w:r>
        <w:t>Blocked review gate (incomplete agents) — no escalation path found in-app beyond waiting for agent completion or a project_owner intervening; this is an open question worth resolving (e.g., a stuck-agent recovery action).</w:t>
      </w:r>
    </w:p>
    <w:p>
      <w:pPr>
        <w:pStyle w:val="ListBullet"/>
      </w:pPr>
      <w:r>
        <w:t>Production incident — no incident-management tooling (PagerDuty, Opsgenie, etc.) confirmed in this codebase; see the Operations &amp; Support document set for target-state recommendations.</w:t>
      </w:r>
    </w:p>
    <w:p>
      <w:pPr>
        <w:pStyle w:val="Heading1"/>
      </w:pPr>
      <w:r>
        <w:t>6. Risks</w:t>
      </w:r>
    </w:p>
    <w:p>
      <w:pPr>
        <w:pStyle w:val="ListBullet"/>
      </w:pPr>
      <w:r>
        <w:t>No confirmed notification system means reviewers may not know a gate is ready without manually checking the workspace.</w:t>
      </w:r>
    </w:p>
    <w:p>
      <w:pPr>
        <w:pStyle w:val="ListBullet"/>
      </w:pPr>
      <w:r>
        <w:t>No confirmed escalation path for a stuck or exhausted agent run beyond the iteration-budget fix already applied this engagement.</w:t>
      </w:r>
    </w:p>
    <w:p>
      <w:pPr>
        <w:pStyle w:val="Heading1"/>
      </w:pPr>
      <w:r>
        <w:t>7. Open Questions</w:t>
      </w:r>
    </w:p>
    <w:p>
      <w:pPr>
        <w:pStyle w:val="ListBullet"/>
      </w:pPr>
      <w:r>
        <w:t>Who holds the Executive Sponsor and Product Owner roles by name, and what is their engagement cadence?</w:t>
      </w:r>
    </w:p>
    <w:p>
      <w:pPr>
        <w:pStyle w:val="ListBullet"/>
      </w:pPr>
      <w:r>
        <w:t>Is there a notification mechanism (email, Slack, in-app) planned for gate-ready or agent-failure events?</w:t>
      </w:r>
    </w:p>
    <w:p>
      <w:pPr>
        <w:pStyle w:val="ListBullet"/>
      </w:pPr>
      <w:r>
        <w:t>What is the escalation path when an agent run stalls or a gate sits unreviewed for an extended period?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Stakeholder Engagement Model</w:t>
      </w:r>
    </w:p>
    <w:p>
      <w:r>
        <w:rPr>
          <w:b w:val="0"/>
          <w:i w:val="0"/>
        </w:rPr>
        <w:t>How in-app roles engage with a project across its lifecycle.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Owner[Project Owner]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Editor[Editor]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Reviewer[Reviewer]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Viewer[Viewer]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Admin[Platform Admin]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Owner --&gt; Editor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Editor --&gt; Reviewer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Reviewer --&gt; Viewer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Admin --&gt; Owner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Admin sits above project-level roles, reflecting the separate isAdmin flag that is independent of any single project's role assignments.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Decision Escalation Flow</w:t>
      </w:r>
    </w:p>
    <w:p>
      <w:r>
        <w:rPr>
          <w:b w:val="0"/>
          <w:i w:val="0"/>
        </w:rPr>
        <w:t>Where a decision or blocker goes if it cannot be resolved at the current role level.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Editor[Editor Blocked]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Owner[Project Owner]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Admin[Platform Admin]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Sponsor[Executive Sponsor]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Editor --&gt; Owner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Owner --&gt; Admin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Admin --&gt; Sponsor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The Owner and Admin steps are confirmed in-app escalation points; the Sponsor step is an assumed organizational extension beyond what the codebase enforces.</w:t>
      </w:r>
    </w:p>
    <w:p>
      <w:r>
        <w:rPr>
          <w:b w:val="0"/>
          <w:i/>
        </w:rPr>
        <w:t>Assumptions: Executive Sponsor escalation is assumed, not implemented or confirmed.</w:t>
      </w:r>
    </w:p>
    <w:p>
      <w:r>
        <w:rPr>
          <w:b w:val="0"/>
          <w:i/>
        </w:rPr>
        <w:t>Confidence: Medium.</w:t>
      </w:r>
    </w:p>
    <w:p/>
    <w:p>
      <w:pPr>
        <w:pStyle w:val="Heading3"/>
      </w:pPr>
      <w:r>
        <w:t>Diagram 3: Communication Cadence Flow</w:t>
      </w:r>
    </w:p>
    <w:p>
      <w:r>
        <w:rPr>
          <w:b w:val="0"/>
          <w:i w:val="0"/>
        </w:rPr>
        <w:t>How gate-ready and reset-action information is intended to reach stakeholders.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GateReady[Gate Ready]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InApp[In App Indicator]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Reviewer[Reviewer Checks Workspace]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Reset[Reset Action]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Confirm[Type To Confirm Dialog]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Admin[Admin Confirms]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GateReady --&gt; InApp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InApp --&gt; Reviewer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Reset --&gt; Confirm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Confirm --&gt; Admin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The reset-confirmation path is directly confirmed in AdminPanel.tsx. The gate-ready path assumes a reviewer manually checks the workspace, since no push notification system was found.</w:t>
      </w:r>
    </w:p>
    <w:p>
      <w:r>
        <w:rPr>
          <w:b w:val="0"/>
          <w:i/>
        </w:rPr>
        <w:t>Assumptions: No push/email notification system confirmed for gate-ready events.</w:t>
      </w:r>
    </w:p>
    <w:p>
      <w:r>
        <w:rPr>
          <w:b w:val="0"/>
          <w:i/>
        </w:rPr>
        <w:t>Confidence: Medium.</w:t>
      </w:r>
    </w:p>
    <w:p/>
    <w:p>
      <w:pPr>
        <w:pStyle w:val="Heading1"/>
      </w:pPr>
      <w:r>
        <w:t>8. Confidence Level</w:t>
      </w:r>
    </w:p>
    <w:p>
      <w:r>
        <w:rPr>
          <w:b w:val="0"/>
          <w:i w:val="0"/>
        </w:rPr>
        <w:t>Overall confidence: 0.8. High on in-app role structure and decision rights (code-grounded). Low on named organizational stakeholders and communication cadence, which are assumptions pending real stakeholder input.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