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Assumptions and Constraints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 If Wrong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The organization intends this platform primarily for internal delivery-team use, not external customer self-service</w:t>
            </w:r>
          </w:p>
        </w:tc>
        <w:tc>
          <w:tcPr>
            <w:tcW w:type="dxa" w:w="2160"/>
          </w:tcPr>
          <w:p>
            <w:r>
              <w:t>Inferred from RBAC/admin-panel design</w:t>
            </w:r>
          </w:p>
        </w:tc>
        <w:tc>
          <w:tcPr>
            <w:tcW w:type="dxa" w:w="2160"/>
          </w:tcPr>
          <w:p>
            <w:r>
              <w:t>Medium — UX and security posture may need rework for external users</w:t>
            </w:r>
          </w:p>
        </w:tc>
        <w:tc>
          <w:tcPr>
            <w:tcW w:type="dxa" w:w="2160"/>
          </w:tcPr>
          <w:p>
            <w:r>
              <w:t>Product Owner (assumed role)</w:t>
            </w:r>
          </w:p>
        </w:tc>
      </w:tr>
      <w:tr>
        <w:tc>
          <w:tcPr>
            <w:tcW w:type="dxa" w:w="2160"/>
          </w:tcPr>
          <w:p>
            <w:r>
              <w:t>Executive sponsorship and budget exist to continue investment</w:t>
            </w:r>
          </w:p>
        </w:tc>
        <w:tc>
          <w:tcPr>
            <w:tcW w:type="dxa" w:w="2160"/>
          </w:tcPr>
          <w:p>
            <w:r>
              <w:t>Active engineering work is ongoing, including this engagement</w:t>
            </w:r>
          </w:p>
        </w:tc>
        <w:tc>
          <w:tcPr>
            <w:tcW w:type="dxa" w:w="2160"/>
          </w:tcPr>
          <w:p>
            <w:r>
              <w:t>High — project could stall without confirmed backing</w:t>
            </w:r>
          </w:p>
        </w:tc>
        <w:tc>
          <w:tcPr>
            <w:tcW w:type="dxa" w:w="2160"/>
          </w:tcPr>
          <w:p>
            <w:r>
              <w:t>Executive Sponsor (assumed role)</w:t>
            </w:r>
          </w:p>
        </w:tc>
      </w:tr>
      <w:tr>
        <w:tc>
          <w:tcPr>
            <w:tcW w:type="dxa" w:w="2160"/>
          </w:tcPr>
          <w:p>
            <w:r>
              <w:t>server/ (the Supabase-backed service in the repo) is not yet load-bearing in production</w:t>
            </w:r>
          </w:p>
        </w:tc>
        <w:tc>
          <w:tcPr>
            <w:tcW w:type="dxa" w:w="2160"/>
          </w:tcPr>
          <w:p>
            <w:r>
              <w:t>SERVER_API_URL wiring not confirmed</w:t>
            </w:r>
          </w:p>
        </w:tc>
        <w:tc>
          <w:tcPr>
            <w:tcW w:type="dxa" w:w="2160"/>
          </w:tcPr>
          <w:p>
            <w:r>
              <w:t>Medium — if it is load-bearing, some current-state descriptions in this document set may be incomplete</w:t>
            </w:r>
          </w:p>
        </w:tc>
        <w:tc>
          <w:tcPr>
            <w:tcW w:type="dxa" w:w="2160"/>
          </w:tcPr>
          <w:p>
            <w:r>
              <w:t>Engineering Lead</w:t>
            </w:r>
          </w:p>
        </w:tc>
      </w:tr>
      <w:tr>
        <w:tc>
          <w:tcPr>
            <w:tcW w:type="dxa" w:w="2160"/>
          </w:tcPr>
          <w:p>
            <w:r>
              <w:t>GitHub Actions CI failing does not currently block Vercel/Railway deployment</w:t>
            </w:r>
          </w:p>
        </w:tc>
        <w:tc>
          <w:tcPr>
            <w:tcW w:type="dxa" w:w="2160"/>
          </w:tcPr>
          <w:p>
            <w:r>
              <w:t>Not confirmed either way; two commits went red during this engagement without a described deploy block</w:t>
            </w:r>
          </w:p>
        </w:tc>
        <w:tc>
          <w:tcPr>
            <w:tcW w:type="dxa" w:w="2160"/>
          </w:tcPr>
          <w:p>
            <w:r>
              <w:t>Medium — if CI does gate deploys, the risk described in the Architecture Document is overstated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</w:tr>
    </w:tbl>
    <w:p/>
    <w:p>
      <w:pPr>
        <w:pStyle w:val="Heading1"/>
      </w:pPr>
      <w:r>
        <w:t>2.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160"/>
          </w:tcPr>
          <w:p>
            <w:r>
              <w:t>LLM provider rate limits</w:t>
            </w:r>
          </w:p>
        </w:tc>
        <w:tc>
          <w:tcPr>
            <w:tcW w:type="dxa" w:w="2160"/>
          </w:tcPr>
          <w:p>
            <w:r>
              <w:t>Technical</w:t>
            </w:r>
          </w:p>
        </w:tc>
        <w:tc>
          <w:tcPr>
            <w:tcW w:type="dxa" w:w="2160"/>
          </w:tcPr>
          <w:p>
            <w:r>
              <w:t>Caps pipeline concurrency at 5 parallel agents, 1.5s stagger</w:t>
            </w:r>
          </w:p>
        </w:tc>
        <w:tc>
          <w:tcPr>
            <w:tcW w:type="dxa" w:w="2160"/>
          </w:tcPr>
          <w:p>
            <w:r>
              <w:t>High — directly observed</w:t>
            </w:r>
          </w:p>
        </w:tc>
      </w:tr>
      <w:tr>
        <w:tc>
          <w:tcPr>
            <w:tcW w:type="dxa" w:w="2160"/>
          </w:tcPr>
          <w:p>
            <w:r>
              <w:t>Single Railway instance per backend service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No horizontal scaling without target-state job-queue/autoscaling work</w:t>
            </w:r>
          </w:p>
        </w:tc>
        <w:tc>
          <w:tcPr>
            <w:tcW w:type="dxa" w:w="2160"/>
          </w:tcPr>
          <w:p>
            <w:r>
              <w:t>High — confirmed, no autoscaling config found</w:t>
            </w:r>
          </w:p>
        </w:tc>
      </w:tr>
      <w:tr>
        <w:tc>
          <w:tcPr>
            <w:tcW w:type="dxa" w:w="2160"/>
          </w:tcPr>
          <w:p>
            <w:r>
              <w:t>Dexie/IndexedDB as a browser-local system of record alongside PostgreSQL</w:t>
            </w:r>
          </w:p>
        </w:tc>
        <w:tc>
          <w:tcPr>
            <w:tcW w:type="dxa" w:w="2160"/>
          </w:tcPr>
          <w:p>
            <w:r>
              <w:t>Architectural</w:t>
            </w:r>
          </w:p>
        </w:tc>
        <w:tc>
          <w:tcPr>
            <w:tcW w:type="dxa" w:w="2160"/>
          </w:tcPr>
          <w:p>
            <w:r>
              <w:t>Sync-conflict risk between browser sessions/devices</w:t>
            </w:r>
          </w:p>
        </w:tc>
        <w:tc>
          <w:tcPr>
            <w:tcW w:type="dxa" w:w="2160"/>
          </w:tcPr>
          <w:p>
            <w:r>
              <w:t>Medium — dual-storage fact confirmed, conflict resolution mechanics not fully re-verified</w:t>
            </w:r>
          </w:p>
        </w:tc>
      </w:tr>
      <w:tr>
        <w:tc>
          <w:tcPr>
            <w:tcW w:type="dxa" w:w="2160"/>
          </w:tcPr>
          <w:p>
            <w:r>
              <w:t>No structured logging or APM</w:t>
            </w:r>
          </w:p>
        </w:tc>
        <w:tc>
          <w:tcPr>
            <w:tcW w:type="dxa" w:w="2160"/>
          </w:tcPr>
          <w:p>
            <w:r>
              <w:t>Technical</w:t>
            </w:r>
          </w:p>
        </w:tc>
        <w:tc>
          <w:tcPr>
            <w:tcW w:type="dxa" w:w="2160"/>
          </w:tcPr>
          <w:p>
            <w:r>
              <w:t>Production issues may go undetected until user-reported</w:t>
            </w:r>
          </w:p>
        </w:tc>
        <w:tc>
          <w:tcPr>
            <w:tcW w:type="dxa" w:w="2160"/>
          </w:tcPr>
          <w:p>
            <w:r>
              <w:t>High — confirmed via direct code grep</w:t>
            </w:r>
          </w:p>
        </w:tc>
      </w:tr>
    </w:tbl>
    <w:p/>
    <w:p>
      <w:pPr>
        <w:pStyle w:val="Heading1"/>
      </w:pPr>
      <w:r>
        <w:t>3. Impact Assessment</w:t>
      </w:r>
    </w:p>
    <w:p>
      <w:r>
        <w:rPr>
          <w:b w:val="0"/>
          <w:i w:val="0"/>
        </w:rPr>
        <w:t>The two highest-impact unresolved items are the observability gap (console-log only, no alerting) and the two open production-wiring questions (POSTGRES_URL vs. server/'s Supabase connection; whether server/ is deployed as its own Railway service). Both could mean current-state descriptions in this document set are incomplete in ways that would only surface as a production incident, not a development-time error.</w:t>
      </w:r>
    </w:p>
    <w:p>
      <w:pPr>
        <w:pStyle w:val="Heading1"/>
      </w:pPr>
      <w:r>
        <w:t>4. Validation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 to Validate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POSTGRES_URL vs. server/'s Supabase relationship</w:t>
            </w:r>
          </w:p>
        </w:tc>
        <w:tc>
          <w:tcPr>
            <w:tcW w:type="dxa" w:w="2160"/>
          </w:tcPr>
          <w:p>
            <w:r>
              <w:t>Compare connection strings/configs directly with DevOps/infra owner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Whether server/ is a standalone deployed Railway service</w:t>
            </w:r>
          </w:p>
        </w:tc>
        <w:tc>
          <w:tcPr>
            <w:tcW w:type="dxa" w:w="2160"/>
          </w:tcPr>
          <w:p>
            <w:r>
              <w:t>Check Railway project dashboard for a running service and confirm SERVER_API_URL resolves to it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Whether CI gates Vercel/Railway deploys</w:t>
            </w:r>
          </w:p>
        </w:tc>
        <w:tc>
          <w:tcPr>
            <w:tcW w:type="dxa" w:w="2160"/>
          </w:tcPr>
          <w:p>
            <w:r>
              <w:t>Check Vercel/Railway project settings for deploy-on-green-only configuration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Invite-token expiry/revocation behavior</w:t>
            </w:r>
          </w:p>
        </w:tc>
        <w:tc>
          <w:tcPr>
            <w:tcW w:type="dxa" w:w="2160"/>
          </w:tcPr>
          <w:p>
            <w:r>
              <w:t>Trace the invite-token issuance and validation code path end to end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5. Owners</w:t>
      </w:r>
    </w:p>
    <w:p>
      <w:r>
        <w:rPr>
          <w:b w:val="0"/>
          <w:i w:val="0"/>
        </w:rPr>
        <w:t>[Assumption] Named individual owners were not available; roles are used as placeholders pending real assignment.</w:t>
      </w:r>
    </w:p>
    <w:p>
      <w:pPr>
        <w:pStyle w:val="Heading1"/>
      </w:pPr>
      <w:r>
        <w:t>6. Risks</w:t>
      </w:r>
    </w:p>
    <w:p>
      <w:pPr>
        <w:pStyle w:val="ListBullet"/>
      </w:pPr>
      <w:r>
        <w:t>Acting on an unverified assumption (e.g., that server/ is inactive) could mean a real production dependency goes unmonitored.</w:t>
      </w:r>
    </w:p>
    <w:p>
      <w:pPr>
        <w:pStyle w:val="ListBullet"/>
      </w:pPr>
      <w:r>
        <w:t>Without confirming CI deploy-gating, a red build could reach production undetected, as nearly happened with commits 6fe98cf and 1d9a76a during this engagement.</w:t>
      </w:r>
    </w:p>
    <w:p>
      <w:pPr>
        <w:pStyle w:val="Heading1"/>
      </w:pPr>
      <w:r>
        <w:t>7. Mitigations</w:t>
      </w:r>
    </w:p>
    <w:p>
      <w:pPr>
        <w:pStyle w:val="ListBullet"/>
      </w:pPr>
      <w:r>
        <w:t>Treat every item in Section 4 as a required validation before making further architecture decisions that depend on it.</w:t>
      </w:r>
    </w:p>
    <w:p>
      <w:pPr>
        <w:pStyle w:val="ListBullet"/>
      </w:pPr>
      <w:r>
        <w:t>In the interim, continue to manually verify CI status before relying on auto-deploy for any change touching security or data-handling code.</w:t>
      </w:r>
    </w:p>
    <w:p>
      <w:pPr>
        <w:pStyle w:val="Heading1"/>
      </w:pPr>
      <w:r>
        <w:t>8. Open Questions</w:t>
      </w:r>
    </w:p>
    <w:p>
      <w:pPr>
        <w:pStyle w:val="ListBullet"/>
      </w:pPr>
      <w:r>
        <w:t>Is POSTGRES_URL (production) the same database server/instance as server/'s Supabase connection?</w:t>
      </w:r>
    </w:p>
    <w:p>
      <w:pPr>
        <w:pStyle w:val="ListBullet"/>
      </w:pPr>
      <w:r>
        <w:t>Is server/ deployed as its own Railway service in production?</w:t>
      </w:r>
    </w:p>
    <w:p>
      <w:pPr>
        <w:pStyle w:val="ListBullet"/>
      </w:pPr>
      <w:r>
        <w:t>Does a failing GitHub Actions run actually block a Vercel/Railway deploy?</w:t>
      </w:r>
    </w:p>
    <w:p>
      <w:pPr>
        <w:pStyle w:val="ListBullet"/>
      </w:pPr>
      <w:r>
        <w:t>Does the invite-session bearer token expire, and can it be revoked independent of the underlying Supabase JWT?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Assumption Validation Flow</w:t>
      </w:r>
    </w:p>
    <w:p>
      <w:r>
        <w:rPr>
          <w:b w:val="0"/>
          <w:i w:val="0"/>
        </w:rPr>
        <w:t>How an assumption should move from stated to confirmed or refuted.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Stated[Assumption Stated]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Validation[Validation Method Applied]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Confirmed[Confirmed]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Refuted[Refuted]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Updated[Documents Updated]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Stated --&gt; Validation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Validation --&gt; Confirmed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Validation --&gt; Refuted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Confirmed --&gt; Updated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Refuted --&gt; Updated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Every assumption in Section 1 should eventually resolve to Confirmed or Refuted, and this document set should be updated accordingly rather than left with a stale assumption.</w:t>
      </w:r>
    </w:p>
    <w:p>
      <w:r>
        <w:rPr>
          <w:b w:val="0"/>
          <w:i/>
        </w:rPr>
        <w:t>Confidence: High — process is straightforward, not yet executed for the open items.</w:t>
      </w:r>
    </w:p>
    <w:p/>
    <w:p>
      <w:pPr>
        <w:pStyle w:val="Heading3"/>
      </w:pPr>
      <w:r>
        <w:t>Diagram 2: Constraint Impact Map</w:t>
      </w:r>
    </w:p>
    <w:p>
      <w:r>
        <w:rPr>
          <w:b w:val="0"/>
          <w:i w:val="0"/>
        </w:rPr>
        <w:t>Shows which architecture areas each constraint most affects.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RateLimit[LLM Rate Limits]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SingleInstance[Single Instance Per Service]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DualStorage[Dexie Plus Postgres]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NoLogging[No Structured Logging]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RateLimit --&gt; Throughput[Pipeline Throughput]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SingleInstance --&gt; Scaling[Horizontal Scaling]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DualStorage --&gt; SyncRisk[Sync Conflict Risk]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NoLogging --&gt; Observability[Production Visibility]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Each constraint maps to exactly one primary architectural concern, matching the Architecture Document's Risks and Mitigations section.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Risk Escalation Flow</w:t>
      </w:r>
    </w:p>
    <w:p>
      <w:r>
        <w:rPr>
          <w:b w:val="0"/>
          <w:i w:val="0"/>
        </w:rPr>
        <w:t>How an unresolved assumption becomes an escalated risk if left unvalidated.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Assumption[Unvalidated Assumption]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Time[Time Passes]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Risk[Becomes Active Risk]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Escalate[Escalated To Engineering Lead]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Assumption --&gt; Time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Time --&gt; Risk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Risk --&gt; Escalate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models the general principle that unvalidated assumptions age into risks; it is not an automated system behavior.</w:t>
      </w:r>
    </w:p>
    <w:p>
      <w:r>
        <w:rPr>
          <w:b w:val="0"/>
          <w:i/>
        </w:rPr>
        <w:t>Confidence: Medium — a reasonable model, not something enforced in code.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0.85. High on constraints (all directly observed in code). Medium on assumptions, which are reasoned inferences pending the validation steps listed in Section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