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Risk Register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Risk Summary</w:t>
      </w:r>
    </w:p>
    <w:p>
      <w:r>
        <w:rPr>
          <w:b w:val="0"/>
          <w:i w:val="0"/>
        </w:rPr>
        <w:t>This register consolidates risks identified across the platform's architecture, security, delivery, and operational areas during this engagement's codebase review. Risks are drawn from direct code evidence wherever possible; inferred risks are marked accordingly.</w:t>
      </w:r>
    </w:p>
    <w:p>
      <w:pPr>
        <w:pStyle w:val="Heading1"/>
      </w:pPr>
      <w:r>
        <w:t>2. Risk Categories</w:t>
      </w:r>
    </w:p>
    <w:p>
      <w:pPr>
        <w:pStyle w:val="ListBullet"/>
      </w:pPr>
      <w:r>
        <w:t>Technical / Architectural</w:t>
      </w:r>
    </w:p>
    <w:p>
      <w:pPr>
        <w:pStyle w:val="ListBullet"/>
      </w:pPr>
      <w:r>
        <w:t>Security</w:t>
      </w:r>
    </w:p>
    <w:p>
      <w:pPr>
        <w:pStyle w:val="ListBullet"/>
      </w:pPr>
      <w:r>
        <w:t>Operational</w:t>
      </w:r>
    </w:p>
    <w:p>
      <w:pPr>
        <w:pStyle w:val="ListBullet"/>
      </w:pPr>
      <w:r>
        <w:t>Delivery / Process</w:t>
      </w:r>
    </w:p>
    <w:p>
      <w:pPr>
        <w:pStyle w:val="ListBullet"/>
      </w:pPr>
      <w:r>
        <w:t>Business</w:t>
      </w:r>
    </w:p>
    <w:p>
      <w:pPr>
        <w:pStyle w:val="Heading1"/>
      </w:pPr>
      <w:r>
        <w:t>3. 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R-01</w:t>
            </w:r>
          </w:p>
        </w:tc>
        <w:tc>
          <w:tcPr>
            <w:tcW w:type="dxa" w:w="1440"/>
          </w:tcPr>
          <w:p>
            <w:r>
              <w:t>LLM provider rate limits throttle pipeline throughput, previously causing tool-call marker leaks</w:t>
            </w:r>
          </w:p>
        </w:tc>
        <w:tc>
          <w:tcPr>
            <w:tcW w:type="dxa" w:w="1440"/>
          </w:tcPr>
          <w:p>
            <w:r>
              <w:t>Technical</w:t>
            </w:r>
          </w:p>
        </w:tc>
        <w:tc>
          <w:tcPr>
            <w:tcW w:type="dxa" w:w="1440"/>
          </w:tcPr>
          <w:p>
            <w:r>
              <w:t>Confirmed (occurred)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Mitigated — iteration budgets corrected this engagement</w:t>
            </w:r>
          </w:p>
        </w:tc>
      </w:tr>
      <w:tr>
        <w:tc>
          <w:tcPr>
            <w:tcW w:type="dxa" w:w="1440"/>
          </w:tcPr>
          <w:p>
            <w:r>
              <w:t>R-02</w:t>
            </w:r>
          </w:p>
        </w:tc>
        <w:tc>
          <w:tcPr>
            <w:tcW w:type="dxa" w:w="1440"/>
          </w:tcPr>
          <w:p>
            <w:r>
              <w:t>No structured logging/APM means production issues may go undetected</w:t>
            </w:r>
          </w:p>
        </w:tc>
        <w:tc>
          <w:tcPr>
            <w:tcW w:type="dxa" w:w="1440"/>
          </w:tcPr>
          <w:p>
            <w:r>
              <w:t>Operational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Open — target-state recommendation only</w:t>
            </w:r>
          </w:p>
        </w:tc>
      </w:tr>
      <w:tr>
        <w:tc>
          <w:tcPr>
            <w:tcW w:type="dxa" w:w="1440"/>
          </w:tcPr>
          <w:p>
            <w:r>
              <w:t>R-03</w:t>
            </w:r>
          </w:p>
        </w:tc>
        <w:tc>
          <w:tcPr>
            <w:tcW w:type="dxa" w:w="1440"/>
          </w:tcPr>
          <w:p>
            <w:r>
              <w:t>Unclear whether server/ is load-bearing in production</w:t>
            </w:r>
          </w:p>
        </w:tc>
        <w:tc>
          <w:tcPr>
            <w:tcW w:type="dxa" w:w="1440"/>
          </w:tcPr>
          <w:p>
            <w:r>
              <w:t>Technical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Open — validation pending</w:t>
            </w:r>
          </w:p>
        </w:tc>
      </w:tr>
      <w:tr>
        <w:tc>
          <w:tcPr>
            <w:tcW w:type="dxa" w:w="1440"/>
          </w:tcPr>
          <w:p>
            <w:r>
              <w:t>R-04</w:t>
            </w:r>
          </w:p>
        </w:tc>
        <w:tc>
          <w:tcPr>
            <w:tcW w:type="dxa" w:w="1440"/>
          </w:tcPr>
          <w:p>
            <w:r>
              <w:t>Unclear whether CI failures block production deploys</w:t>
            </w:r>
          </w:p>
        </w:tc>
        <w:tc>
          <w:tcPr>
            <w:tcW w:type="dxa" w:w="1440"/>
          </w:tcPr>
          <w:p>
            <w:r>
              <w:t>Delivery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Open — validation pending</w:t>
            </w:r>
          </w:p>
        </w:tc>
      </w:tr>
      <w:tr>
        <w:tc>
          <w:tcPr>
            <w:tcW w:type="dxa" w:w="1440"/>
          </w:tcPr>
          <w:p>
            <w:r>
              <w:t>R-05</w:t>
            </w:r>
          </w:p>
        </w:tc>
        <w:tc>
          <w:tcPr>
            <w:tcW w:type="dxa" w:w="1440"/>
          </w:tcPr>
          <w:p>
            <w:r>
              <w:t>Dexie/IndexedDB and PostgreSQL dual storage risks silent sync conflicts</w:t>
            </w:r>
          </w:p>
        </w:tc>
        <w:tc>
          <w:tcPr>
            <w:tcW w:type="dxa" w:w="1440"/>
          </w:tcPr>
          <w:p>
            <w:r>
              <w:t>Technical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Open — no conflict-resolution test suite found</w:t>
            </w:r>
          </w:p>
        </w:tc>
      </w:tr>
      <w:tr>
        <w:tc>
          <w:tcPr>
            <w:tcW w:type="dxa" w:w="1440"/>
          </w:tcPr>
          <w:p>
            <w:r>
              <w:t>R-06</w:t>
            </w:r>
          </w:p>
        </w:tc>
        <w:tc>
          <w:tcPr>
            <w:tcW w:type="dxa" w:w="1440"/>
          </w:tcPr>
          <w:p>
            <w:r>
              <w:t>Invite-token expiry/revocation behavior unconfirmed</w:t>
            </w:r>
          </w:p>
        </w:tc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Open — validation pending</w:t>
            </w:r>
          </w:p>
        </w:tc>
      </w:tr>
      <w:tr>
        <w:tc>
          <w:tcPr>
            <w:tcW w:type="dxa" w:w="1440"/>
          </w:tcPr>
          <w:p>
            <w:r>
              <w:t>R-07</w:t>
            </w:r>
          </w:p>
        </w:tc>
        <w:tc>
          <w:tcPr>
            <w:tcW w:type="dxa" w:w="1440"/>
          </w:tcPr>
          <w:p>
            <w:r>
              <w:t>Review gate could previously be approved with incomplete agent output</w:t>
            </w:r>
          </w:p>
        </w:tc>
        <w:tc>
          <w:tcPr>
            <w:tcW w:type="dxa" w:w="1440"/>
          </w:tcPr>
          <w:p>
            <w:r>
              <w:t>Delivery</w:t>
            </w:r>
          </w:p>
        </w:tc>
        <w:tc>
          <w:tcPr>
            <w:tcW w:type="dxa" w:w="1440"/>
          </w:tcPr>
          <w:p>
            <w:r>
              <w:t>Confirmed (was possible)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Closed — fixed this engagement (ReviewGateModal.tsx)</w:t>
            </w:r>
          </w:p>
        </w:tc>
      </w:tr>
      <w:tr>
        <w:tc>
          <w:tcPr>
            <w:tcW w:type="dxa" w:w="1440"/>
          </w:tcPr>
          <w:p>
            <w:r>
              <w:t>R-08</w:t>
            </w:r>
          </w:p>
        </w:tc>
        <w:tc>
          <w:tcPr>
            <w:tcW w:type="dxa" w:w="1440"/>
          </w:tcPr>
          <w:p>
            <w:r>
              <w:t>Admin reset action could accidentally destroy master reference data</w:t>
            </w:r>
          </w:p>
        </w:tc>
        <w:tc>
          <w:tcPr>
            <w:tcW w:type="dxa" w:w="1440"/>
          </w:tcPr>
          <w:p>
            <w:r>
              <w:t>Operational</w:t>
            </w:r>
          </w:p>
        </w:tc>
        <w:tc>
          <w:tcPr>
            <w:tcW w:type="dxa" w:w="1440"/>
          </w:tcPr>
          <w:p>
            <w:r>
              <w:t>Confirmed risk existed by design intent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Mitigated — master_* tables explicitly protected</w:t>
            </w:r>
          </w:p>
        </w:tc>
      </w:tr>
      <w:tr>
        <w:tc>
          <w:tcPr>
            <w:tcW w:type="dxa" w:w="1440"/>
          </w:tcPr>
          <w:p>
            <w:r>
              <w:t>R-09</w:t>
            </w:r>
          </w:p>
        </w:tc>
        <w:tc>
          <w:tcPr>
            <w:tcW w:type="dxa" w:w="1440"/>
          </w:tcPr>
          <w:p>
            <w:r>
              <w:t>Generated UI content used emoji icons, inconsistent across platforms</w:t>
            </w:r>
          </w:p>
        </w:tc>
        <w:tc>
          <w:tcPr>
            <w:tcW w:type="dxa" w:w="1440"/>
          </w:tcPr>
          <w:p>
            <w:r>
              <w:t>Delivery/UX</w:t>
            </w:r>
          </w:p>
        </w:tc>
        <w:tc>
          <w:tcPr>
            <w:tcW w:type="dxa" w:w="1440"/>
          </w:tcPr>
          <w:p>
            <w:r>
              <w:t>Confirmed (was occurring)</w:t>
            </w:r>
          </w:p>
        </w:tc>
        <w:tc>
          <w:tcPr>
            <w:tcW w:type="dxa" w:w="1440"/>
          </w:tcPr>
          <w:p>
            <w:r>
              <w:t>Low-Medium</w:t>
            </w:r>
          </w:p>
        </w:tc>
        <w:tc>
          <w:tcPr>
            <w:tcW w:type="dxa" w:w="1440"/>
          </w:tcPr>
          <w:p>
            <w:r>
              <w:t>Mitigated — inline SVG requirement added to agent prompts this engagement</w:t>
            </w:r>
          </w:p>
        </w:tc>
      </w:tr>
    </w:tbl>
    <w:p/>
    <w:p>
      <w:pPr>
        <w:pStyle w:val="Heading1"/>
      </w:pPr>
      <w:r>
        <w:t>4. Probability and Impact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Probability 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Meaning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Already observed or near-certain</w:t>
            </w:r>
          </w:p>
        </w:tc>
        <w:tc>
          <w:tcPr>
            <w:tcW w:type="dxa" w:w="2880"/>
          </w:tcPr>
          <w:p>
            <w:r>
              <w:t>Production incident or major rework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Plausible, some supporting evidence</w:t>
            </w:r>
          </w:p>
        </w:tc>
        <w:tc>
          <w:tcPr>
            <w:tcW w:type="dxa" w:w="2880"/>
          </w:tcPr>
          <w:p>
            <w:r>
              <w:t>Noticeable degradation or delay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Possible but no direct evidence</w:t>
            </w:r>
          </w:p>
        </w:tc>
        <w:tc>
          <w:tcPr>
            <w:tcW w:type="dxa" w:w="2880"/>
          </w:tcPr>
          <w:p>
            <w:r>
              <w:t>Minor, easily corrected</w:t>
            </w:r>
          </w:p>
        </w:tc>
      </w:tr>
    </w:tbl>
    <w:p/>
    <w:p>
      <w:pPr>
        <w:pStyle w:val="Heading1"/>
      </w:pPr>
      <w:r>
        <w:t>5. Mitigation Detail</w:t>
      </w:r>
    </w:p>
    <w:p>
      <w:pPr>
        <w:pStyle w:val="ListBullet"/>
      </w:pPr>
      <w:r>
        <w:t>R-01: agent iteration budgets resized per actual STEP sequence across 27 of 30 agents; concurrency capped at 5 parallel agents with 1.5s stagger.</w:t>
      </w:r>
    </w:p>
    <w:p>
      <w:pPr>
        <w:pStyle w:val="ListBullet"/>
      </w:pPr>
      <w:r>
        <w:t>R-02: recommend introducing a lightweight structured logger (e.g. pino) behind existing console.log call sites as a first step, per Architecture Document Section 15.</w:t>
      </w:r>
    </w:p>
    <w:p>
      <w:pPr>
        <w:pStyle w:val="ListBullet"/>
      </w:pPr>
      <w:r>
        <w:t>R-07: Approve and Continue is now disabled until every agent under a review gate reaches complete status, with a tooltip naming outstanding agents.</w:t>
      </w:r>
    </w:p>
    <w:p>
      <w:pPr>
        <w:pStyle w:val="ListBullet"/>
      </w:pPr>
      <w:r>
        <w:t>R-08: Danger Zone reset explicitly truncates only project-scoped tables, never master_* reference tables.</w:t>
      </w:r>
    </w:p>
    <w:p>
      <w:pPr>
        <w:pStyle w:val="Heading1"/>
      </w:pPr>
      <w:r>
        <w:t>6. Contingency</w:t>
      </w:r>
    </w:p>
    <w:p>
      <w:pPr>
        <w:pStyle w:val="ListBullet"/>
      </w:pPr>
      <w:r>
        <w:t>If R-02 (observability gap) results in an undetected incident, the interim contingency is manual console-log inspection on the Railway service directly, since no dashboard exists yet.</w:t>
      </w:r>
    </w:p>
    <w:p>
      <w:pPr>
        <w:pStyle w:val="ListBullet"/>
      </w:pPr>
      <w:r>
        <w:t>If R-05 (sync conflict) causes data loss, the interim contingency is manual reconciliation from PostgreSQL as the more durable of the two stores, since Dexie is browser-local and more easily lost.</w:t>
      </w:r>
    </w:p>
    <w:p>
      <w:pPr>
        <w:pStyle w:val="Heading1"/>
      </w:pPr>
      <w:r>
        <w:t>7. Trigger Conditions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Trigger Condition</w:t>
            </w:r>
          </w:p>
        </w:tc>
      </w:tr>
      <w:tr>
        <w:tc>
          <w:tcPr>
            <w:tcW w:type="dxa" w:w="4320"/>
          </w:tcPr>
          <w:p>
            <w:r>
              <w:t>R-02</w:t>
            </w:r>
          </w:p>
        </w:tc>
        <w:tc>
          <w:tcPr>
            <w:tcW w:type="dxa" w:w="4320"/>
          </w:tcPr>
          <w:p>
            <w:r>
              <w:t>A user reports an error with no corresponding log evidence</w:t>
            </w:r>
          </w:p>
        </w:tc>
      </w:tr>
      <w:tr>
        <w:tc>
          <w:tcPr>
            <w:tcW w:type="dxa" w:w="4320"/>
          </w:tcPr>
          <w:p>
            <w:r>
              <w:t>R-03</w:t>
            </w:r>
          </w:p>
        </w:tc>
        <w:tc>
          <w:tcPr>
            <w:tcW w:type="dxa" w:w="4320"/>
          </w:tcPr>
          <w:p>
            <w:r>
              <w:t>A request to server/ times out or 404s in production</w:t>
            </w:r>
          </w:p>
        </w:tc>
      </w:tr>
      <w:tr>
        <w:tc>
          <w:tcPr>
            <w:tcW w:type="dxa" w:w="4320"/>
          </w:tcPr>
          <w:p>
            <w:r>
              <w:t>R-04</w:t>
            </w:r>
          </w:p>
        </w:tc>
        <w:tc>
          <w:tcPr>
            <w:tcW w:type="dxa" w:w="4320"/>
          </w:tcPr>
          <w:p>
            <w:r>
              <w:t>A red CI run is followed by a live production issue traced to that commit</w:t>
            </w:r>
          </w:p>
        </w:tc>
      </w:tr>
      <w:tr>
        <w:tc>
          <w:tcPr>
            <w:tcW w:type="dxa" w:w="4320"/>
          </w:tcPr>
          <w:p>
            <w:r>
              <w:t>R-05</w:t>
            </w:r>
          </w:p>
        </w:tc>
        <w:tc>
          <w:tcPr>
            <w:tcW w:type="dxa" w:w="4320"/>
          </w:tcPr>
          <w:p>
            <w:r>
              <w:t>Two devices/tabs report different data for the same project</w:t>
            </w:r>
          </w:p>
        </w:tc>
      </w:tr>
    </w:tbl>
    <w:p/>
    <w:p>
      <w:pPr>
        <w:pStyle w:val="Heading2"/>
      </w:pPr>
      <w:r>
        <w:t>Required Diagrams</w:t>
      </w:r>
    </w:p>
    <w:p>
      <w:pPr>
        <w:pStyle w:val="Heading3"/>
      </w:pPr>
      <w:r>
        <w:t>Diagram 1: Risk Lifecycle Flow</w:t>
      </w:r>
    </w:p>
    <w:p>
      <w:r>
        <w:rPr>
          <w:b w:val="0"/>
          <w:i w:val="0"/>
        </w:rPr>
        <w:t>How a risk moves from identification to closure.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Identified[Risk Identified]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Assessed[Assessed]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Mitigated[Mitigation Applied]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Monitored[Monitored]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Closed[Closed]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Identified --&gt; Assessed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Assessed --&gt; Mitigated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Mitigated --&gt; Monitored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Monitored --&gt; Closed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R-07, R-08, and R-09 have completed this full lifecycle this engagement; R-02 through R-06 remain in the Assessed or Mitigated stage.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Risk Escalation Flow</w:t>
      </w:r>
    </w:p>
    <w:p>
      <w:r>
        <w:rPr>
          <w:b w:val="0"/>
          <w:i w:val="0"/>
        </w:rPr>
        <w:t>Where a risk goes if its trigger condition fires.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Trigger[Trigger Condition Fires]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EngLead[Engineering Lead Notified]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Assess[Reassess Probability And Impact]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Action[Mitigation Or Incident Response]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Trigger --&gt; EngLead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EngLead --&gt; Assess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Assess --&gt; Action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a recommended escalation path; no automated alerting exists to fire this flow today, which is itself R-02.</w:t>
      </w:r>
    </w:p>
    <w:p>
      <w:r>
        <w:rPr>
          <w:b w:val="0"/>
          <w:i/>
        </w:rPr>
        <w:t>Assumptions: No automated trigger-detection system exists; this flow assumes manual observation.</w:t>
      </w:r>
    </w:p>
    <w:p>
      <w:r>
        <w:rPr>
          <w:b w:val="0"/>
          <w:i/>
        </w:rPr>
        <w:t>Confidence: Medium.</w:t>
      </w:r>
    </w:p>
    <w:p/>
    <w:p>
      <w:pPr>
        <w:pStyle w:val="Heading3"/>
      </w:pPr>
      <w:r>
        <w:t>Diagram 3: Risk Category Map</w:t>
      </w:r>
    </w:p>
    <w:p>
      <w:r>
        <w:rPr>
          <w:b w:val="0"/>
          <w:i w:val="0"/>
        </w:rPr>
        <w:t>Distribution of the 9 register entries across categories.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Technical[Technical 3 Risks]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Operational[Operational 2 Risks]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Security[Security 1 Risk]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Delivery[Delivery 2 Risks]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UX[Delivery UX 1 Risk]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Technical --&gt; Register[Risk Register]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Operational --&gt; Register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Security --&gt; Register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Delivery --&gt; Register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UX --&gt; Register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Technical risks dominate the register, consistent with this being a codebase-grounded assessment rather than a business-risk survey.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8. Confidence Level</w:t>
      </w:r>
    </w:p>
    <w:p>
      <w:r>
        <w:rPr>
          <w:b w:val="0"/>
          <w:i w:val="0"/>
        </w:rPr>
        <w:t>Overall confidence: 0.85. High on risks with direct code evidence (R-01, R-02, R-07, R-08, R-09). Lower on risks stated as open/unknown (R-03, R-04, R-06), which are genuinely unresolved rather than assessed and found 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