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Decision Log</w:t>
      </w:r>
    </w:p>
    <w:p/>
    <w:p>
      <w:pPr>
        <w:jc w:val="center"/>
      </w:pPr>
      <w:r>
        <w:t>─────────────────────────────────────────────</w:t>
      </w:r>
    </w:p>
    <w:p/>
    <w:p>
      <w:pPr>
        <w:jc w:val="center"/>
      </w:pPr>
      <w:r>
        <w:t>Version 1.0  |  July 2026</w:t>
      </w:r>
    </w:p>
    <w:p>
      <w:pPr>
        <w:jc w:val="center"/>
      </w:pPr>
      <w:r>
        <w:t>CONFIDENTIAL</w:t>
      </w:r>
    </w:p>
    <w:p>
      <w:pPr>
        <w:jc w:val="center"/>
      </w:pPr>
      <w:r>
        <w:t>Prepared by: Engineering &amp; Architecture Team</w:t>
      </w:r>
    </w:p>
    <w:p>
      <w:r>
        <w:br w:type="page"/>
      </w:r>
    </w:p>
    <w:p>
      <w:pPr>
        <w:pStyle w:val="Heading1"/>
      </w:pPr>
      <w:r>
        <w:t>1. Decision Summary</w:t>
      </w:r>
    </w:p>
    <w:p>
      <w:r>
        <w:rPr>
          <w:b w:val="0"/>
          <w:i w:val="0"/>
        </w:rPr>
        <w:t>This log captures architecture, delivery-governance, and UX decisions made or confirmed during this engagement, each with context, rationale, and impact. It mirrors and extends the ADR log already added to the platform's own Architecture Document (Section 17.1).</w:t>
      </w:r>
    </w:p>
    <w:p>
      <w:pPr>
        <w:pStyle w:val="Heading1"/>
      </w:pPr>
      <w:r>
        <w:t>2. Decisions</w:t>
      </w:r>
    </w:p>
    <w:p>
      <w:pPr>
        <w:pStyle w:val="Heading2"/>
      </w:pPr>
      <w:r>
        <w:t>DEC-01: Hard-gate review-gate approval on agent completion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Context</w:t>
            </w:r>
          </w:p>
        </w:tc>
        <w:tc>
          <w:tcPr>
            <w:tcW w:type="dxa" w:w="4320"/>
          </w:tcPr>
          <w:p>
            <w:r>
              <w:t>Approve and Continue could previously be clicked while agents under a review gate were still running or incomplete.</w:t>
            </w:r>
          </w:p>
        </w:tc>
      </w:tr>
      <w:tr>
        <w:tc>
          <w:tcPr>
            <w:tcW w:type="dxa" w:w="4320"/>
          </w:tcPr>
          <w:p>
            <w:r>
              <w:t>Options Considered</w:t>
            </w:r>
          </w:p>
        </w:tc>
        <w:tc>
          <w:tcPr>
            <w:tcW w:type="dxa" w:w="4320"/>
          </w:tcPr>
          <w:p>
            <w:r>
              <w:t>(a) Leave as-is with a warning only; (b) hard-disable until all agents complete; (c) allow with a confirmation dialog.</w:t>
            </w:r>
          </w:p>
        </w:tc>
      </w:tr>
      <w:tr>
        <w:tc>
          <w:tcPr>
            <w:tcW w:type="dxa" w:w="4320"/>
          </w:tcPr>
          <w:p>
            <w:r>
              <w:t>Decision</w:t>
            </w:r>
          </w:p>
        </w:tc>
        <w:tc>
          <w:tcPr>
            <w:tcW w:type="dxa" w:w="4320"/>
          </w:tcPr>
          <w:p>
            <w:r>
              <w:t>Option (b) — disable the button entirely until every agent under the gate reaches complete status, with a tooltip naming outstanding agents.</w:t>
            </w:r>
          </w:p>
        </w:tc>
      </w:tr>
      <w:tr>
        <w:tc>
          <w:tcPr>
            <w:tcW w:type="dxa" w:w="4320"/>
          </w:tcPr>
          <w:p>
            <w:r>
              <w:t>Rationale</w:t>
            </w:r>
          </w:p>
        </w:tc>
        <w:tc>
          <w:tcPr>
            <w:tcW w:type="dxa" w:w="4320"/>
          </w:tcPr>
          <w:p>
            <w:r>
              <w:t>A warning or confirmation dialog can be dismissed without real consideration; a hard block is the only option that structurally prevents approving incomplete work.</w:t>
            </w:r>
          </w:p>
        </w:tc>
      </w:tr>
      <w:tr>
        <w:tc>
          <w:tcPr>
            <w:tcW w:type="dxa" w:w="4320"/>
          </w:tcPr>
          <w:p>
            <w:r>
              <w:t>Impact</w:t>
            </w:r>
          </w:p>
        </w:tc>
        <w:tc>
          <w:tcPr>
            <w:tcW w:type="dxa" w:w="4320"/>
          </w:tcPr>
          <w:p>
            <w:r>
              <w:t>ReviewGateModal.tsx now computes incompleteAgents and disables the button accordingly.</w:t>
            </w:r>
          </w:p>
        </w:tc>
      </w:tr>
      <w:tr>
        <w:tc>
          <w:tcPr>
            <w:tcW w:type="dxa" w:w="4320"/>
          </w:tcPr>
          <w:p>
            <w:r>
              <w:t>Owner</w:t>
            </w:r>
          </w:p>
        </w:tc>
        <w:tc>
          <w:tcPr>
            <w:tcW w:type="dxa" w:w="4320"/>
          </w:tcPr>
          <w:p>
            <w:r>
              <w:t>Engineering Lead</w:t>
            </w:r>
          </w:p>
        </w:tc>
      </w:tr>
      <w:tr>
        <w:tc>
          <w:tcPr>
            <w:tcW w:type="dxa" w:w="4320"/>
          </w:tcPr>
          <w:p>
            <w:r>
              <w:t>Date</w:t>
            </w:r>
          </w:p>
        </w:tc>
        <w:tc>
          <w:tcPr>
            <w:tcW w:type="dxa" w:w="4320"/>
          </w:tcPr>
          <w:p>
            <w:r>
              <w:t>2026-07-06</w:t>
            </w:r>
          </w:p>
        </w:tc>
      </w:tr>
      <w:tr>
        <w:tc>
          <w:tcPr>
            <w:tcW w:type="dxa" w:w="4320"/>
          </w:tcPr>
          <w:p>
            <w:r>
              <w:t>Revisit Criteria</w:t>
            </w:r>
          </w:p>
        </w:tc>
        <w:tc>
          <w:tcPr>
            <w:tcW w:type="dxa" w:w="4320"/>
          </w:tcPr>
          <w:p>
            <w:r>
              <w:t>Revisit if a legitimate need arises to approve a gate with a known-incomplete, explicitly-waived agent.</w:t>
            </w:r>
          </w:p>
        </w:tc>
      </w:tr>
    </w:tbl>
    <w:p/>
    <w:p>
      <w:pPr>
        <w:pStyle w:val="Heading2"/>
      </w:pPr>
      <w:r>
        <w:t>DEC-02: Allow blob: URLs in CSP frame-src for previews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Context</w:t>
            </w:r>
          </w:p>
        </w:tc>
        <w:tc>
          <w:tcPr>
            <w:tcW w:type="dxa" w:w="4320"/>
          </w:tcPr>
          <w:p>
            <w:r>
              <w:t>Working Prototype and UX Mockups previews render via blob: URLs in an iframe; default-src 'self' was blocking them since frame-src was not explicitly set.</w:t>
            </w:r>
          </w:p>
        </w:tc>
      </w:tr>
      <w:tr>
        <w:tc>
          <w:tcPr>
            <w:tcW w:type="dxa" w:w="4320"/>
          </w:tcPr>
          <w:p>
            <w:r>
              <w:t>Options Considered</w:t>
            </w:r>
          </w:p>
        </w:tc>
        <w:tc>
          <w:tcPr>
            <w:tcW w:type="dxa" w:w="4320"/>
          </w:tcPr>
          <w:p>
            <w:r>
              <w:t>(a) Add frame-src 'self' blob: explicitly; (b) switch preview rendering away from iframes/blob URLs entirely.</w:t>
            </w:r>
          </w:p>
        </w:tc>
      </w:tr>
      <w:tr>
        <w:tc>
          <w:tcPr>
            <w:tcW w:type="dxa" w:w="4320"/>
          </w:tcPr>
          <w:p>
            <w:r>
              <w:t>Decision</w:t>
            </w:r>
          </w:p>
        </w:tc>
        <w:tc>
          <w:tcPr>
            <w:tcW w:type="dxa" w:w="4320"/>
          </w:tcPr>
          <w:p>
            <w:r>
              <w:t>Option (a) — added frame-src 'self' blob; to vercel.json.</w:t>
            </w:r>
          </w:p>
        </w:tc>
      </w:tr>
      <w:tr>
        <w:tc>
          <w:tcPr>
            <w:tcW w:type="dxa" w:w="4320"/>
          </w:tcPr>
          <w:p>
            <w:r>
              <w:t>Rationale</w:t>
            </w:r>
          </w:p>
        </w:tc>
        <w:tc>
          <w:tcPr>
            <w:tcW w:type="dxa" w:w="4320"/>
          </w:tcPr>
          <w:p>
            <w:r>
              <w:t>Minimal, targeted change that preserves the existing iframe-based preview architecture rather than a larger rework.</w:t>
            </w:r>
          </w:p>
        </w:tc>
      </w:tr>
      <w:tr>
        <w:tc>
          <w:tcPr>
            <w:tcW w:type="dxa" w:w="4320"/>
          </w:tcPr>
          <w:p>
            <w:r>
              <w:t>Impact</w:t>
            </w:r>
          </w:p>
        </w:tc>
        <w:tc>
          <w:tcPr>
            <w:tcW w:type="dxa" w:w="4320"/>
          </w:tcPr>
          <w:p>
            <w:r>
              <w:t>Fixes the CSP violation reported for Working Prototype; takes effect on next Vercel deploy.</w:t>
            </w:r>
          </w:p>
        </w:tc>
      </w:tr>
      <w:tr>
        <w:tc>
          <w:tcPr>
            <w:tcW w:type="dxa" w:w="4320"/>
          </w:tcPr>
          <w:p>
            <w:r>
              <w:t>Owner</w:t>
            </w:r>
          </w:p>
        </w:tc>
        <w:tc>
          <w:tcPr>
            <w:tcW w:type="dxa" w:w="4320"/>
          </w:tcPr>
          <w:p>
            <w:r>
              <w:t>Engineering Lead</w:t>
            </w:r>
          </w:p>
        </w:tc>
      </w:tr>
      <w:tr>
        <w:tc>
          <w:tcPr>
            <w:tcW w:type="dxa" w:w="4320"/>
          </w:tcPr>
          <w:p>
            <w:r>
              <w:t>Date</w:t>
            </w:r>
          </w:p>
        </w:tc>
        <w:tc>
          <w:tcPr>
            <w:tcW w:type="dxa" w:w="4320"/>
          </w:tcPr>
          <w:p>
            <w:r>
              <w:t>2026-07-06</w:t>
            </w:r>
          </w:p>
        </w:tc>
      </w:tr>
      <w:tr>
        <w:tc>
          <w:tcPr>
            <w:tcW w:type="dxa" w:w="4320"/>
          </w:tcPr>
          <w:p>
            <w:r>
              <w:t>Revisit Criteria</w:t>
            </w:r>
          </w:p>
        </w:tc>
        <w:tc>
          <w:tcPr>
            <w:tcW w:type="dxa" w:w="4320"/>
          </w:tcPr>
          <w:p>
            <w:r>
              <w:t>Revisit if a future preview mechanism no longer needs blob: framing, to tighten the CSP further.</w:t>
            </w:r>
          </w:p>
        </w:tc>
      </w:tr>
    </w:tbl>
    <w:p/>
    <w:p>
      <w:pPr>
        <w:pStyle w:val="Heading2"/>
      </w:pPr>
      <w:r>
        <w:t>DEC-03: Resize agent iteration budgets per actual STEP sequence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Context</w:t>
            </w:r>
          </w:p>
        </w:tc>
        <w:tc>
          <w:tcPr>
            <w:tcW w:type="dxa" w:w="4320"/>
          </w:tcPr>
          <w:p>
            <w:r>
              <w:t>27 of 30 agents had maxIterations values too low for their mandatory STEP sequence, causing the forced-finalization fallback to fire mid-task and leak literal TOOL_CALL marker text into output.</w:t>
            </w:r>
          </w:p>
        </w:tc>
      </w:tr>
      <w:tr>
        <w:tc>
          <w:tcPr>
            <w:tcW w:type="dxa" w:w="4320"/>
          </w:tcPr>
          <w:p>
            <w:r>
              <w:t>Options Considered</w:t>
            </w:r>
          </w:p>
        </w:tc>
        <w:tc>
          <w:tcPr>
            <w:tcW w:type="dxa" w:w="4320"/>
          </w:tcPr>
          <w:p>
            <w:r>
              <w:t>(a) Raise all agents to one large flat default; (b) size each agent's budget individually against its actual STEP count, with margin.</w:t>
            </w:r>
          </w:p>
        </w:tc>
      </w:tr>
      <w:tr>
        <w:tc>
          <w:tcPr>
            <w:tcW w:type="dxa" w:w="4320"/>
          </w:tcPr>
          <w:p>
            <w:r>
              <w:t>Decision</w:t>
            </w:r>
          </w:p>
        </w:tc>
        <w:tc>
          <w:tcPr>
            <w:tcW w:type="dxa" w:w="4320"/>
          </w:tcPr>
          <w:p>
            <w:r>
              <w:t>Option (b) — each of the 27 agents got an individually justified maxIterations value with an inline comment explaining the STEP-count math.</w:t>
            </w:r>
          </w:p>
        </w:tc>
      </w:tr>
      <w:tr>
        <w:tc>
          <w:tcPr>
            <w:tcW w:type="dxa" w:w="4320"/>
          </w:tcPr>
          <w:p>
            <w:r>
              <w:t>Rationale</w:t>
            </w:r>
          </w:p>
        </w:tc>
        <w:tc>
          <w:tcPr>
            <w:tcW w:type="dxa" w:w="4320"/>
          </w:tcPr>
          <w:p>
            <w:r>
              <w:t>A flat large default wastes budget on simple agents and risks still under-provisioning complex ones; per-agent sizing is more precise and self-documenting.</w:t>
            </w:r>
          </w:p>
        </w:tc>
      </w:tr>
      <w:tr>
        <w:tc>
          <w:tcPr>
            <w:tcW w:type="dxa" w:w="4320"/>
          </w:tcPr>
          <w:p>
            <w:r>
              <w:t>Impact</w:t>
            </w:r>
          </w:p>
        </w:tc>
        <w:tc>
          <w:tcPr>
            <w:tcW w:type="dxa" w:w="4320"/>
          </w:tcPr>
          <w:p>
            <w:r>
              <w:t>Eliminated the observed tool-call-leak failure mode.</w:t>
            </w:r>
          </w:p>
        </w:tc>
      </w:tr>
      <w:tr>
        <w:tc>
          <w:tcPr>
            <w:tcW w:type="dxa" w:w="4320"/>
          </w:tcPr>
          <w:p>
            <w:r>
              <w:t>Owner</w:t>
            </w:r>
          </w:p>
        </w:tc>
        <w:tc>
          <w:tcPr>
            <w:tcW w:type="dxa" w:w="4320"/>
          </w:tcPr>
          <w:p>
            <w:r>
              <w:t>Engineering Lead</w:t>
            </w:r>
          </w:p>
        </w:tc>
      </w:tr>
      <w:tr>
        <w:tc>
          <w:tcPr>
            <w:tcW w:type="dxa" w:w="4320"/>
          </w:tcPr>
          <w:p>
            <w:r>
              <w:t>Date</w:t>
            </w:r>
          </w:p>
        </w:tc>
        <w:tc>
          <w:tcPr>
            <w:tcW w:type="dxa" w:w="4320"/>
          </w:tcPr>
          <w:p>
            <w:r>
              <w:t>2026-07-06</w:t>
            </w:r>
          </w:p>
        </w:tc>
      </w:tr>
      <w:tr>
        <w:tc>
          <w:tcPr>
            <w:tcW w:type="dxa" w:w="4320"/>
          </w:tcPr>
          <w:p>
            <w:r>
              <w:t>Revisit Criteria</w:t>
            </w:r>
          </w:p>
        </w:tc>
        <w:tc>
          <w:tcPr>
            <w:tcW w:type="dxa" w:w="4320"/>
          </w:tcPr>
          <w:p>
            <w:r>
              <w:t>Revisit if an agent's STEP sequence changes materially — the budget comment should be updated alongside it.</w:t>
            </w:r>
          </w:p>
        </w:tc>
      </w:tr>
    </w:tbl>
    <w:p/>
    <w:p>
      <w:pPr>
        <w:pStyle w:val="Heading2"/>
      </w:pPr>
      <w:r>
        <w:t>DEC-04: Require inline SVG icons, prohibit emoji, in UI-generating agents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Context</w:t>
            </w:r>
          </w:p>
        </w:tc>
        <w:tc>
          <w:tcPr>
            <w:tcW w:type="dxa" w:w="4320"/>
          </w:tcPr>
          <w:p>
            <w:r>
              <w:t>uxMockups and workingPrototype agent prompts previously allowed emoji icons in generated UI output.</w:t>
            </w:r>
          </w:p>
        </w:tc>
      </w:tr>
      <w:tr>
        <w:tc>
          <w:tcPr>
            <w:tcW w:type="dxa" w:w="4320"/>
          </w:tcPr>
          <w:p>
            <w:r>
              <w:t>Options Considered</w:t>
            </w:r>
          </w:p>
        </w:tc>
        <w:tc>
          <w:tcPr>
            <w:tcW w:type="dxa" w:w="4320"/>
          </w:tcPr>
          <w:p>
            <w:r>
              <w:t>(a) Leave emoji as an allowed option; (b) require inline SVG exclusively; (c) allow a curated icon font.</w:t>
            </w:r>
          </w:p>
        </w:tc>
      </w:tr>
      <w:tr>
        <w:tc>
          <w:tcPr>
            <w:tcW w:type="dxa" w:w="4320"/>
          </w:tcPr>
          <w:p>
            <w:r>
              <w:t>Decision</w:t>
            </w:r>
          </w:p>
        </w:tc>
        <w:tc>
          <w:tcPr>
            <w:tcW w:type="dxa" w:w="4320"/>
          </w:tcPr>
          <w:p>
            <w:r>
              <w:t>Option (b) — prompts updated to prohibit emoji and require inline SVG, plus an explicit accessibility baseline (contrast, aria-labels, focus rings, touch target size).</w:t>
            </w:r>
          </w:p>
        </w:tc>
      </w:tr>
      <w:tr>
        <w:tc>
          <w:tcPr>
            <w:tcW w:type="dxa" w:w="4320"/>
          </w:tcPr>
          <w:p>
            <w:r>
              <w:t>Rationale</w:t>
            </w:r>
          </w:p>
        </w:tc>
        <w:tc>
          <w:tcPr>
            <w:tcW w:type="dxa" w:w="4320"/>
          </w:tcPr>
          <w:p>
            <w:r>
              <w:t>Emoji render inconsistently across platforms/OSes and cannot be themed via CSS design tokens; inline SVG is themeable and consistent.</w:t>
            </w:r>
          </w:p>
        </w:tc>
      </w:tr>
      <w:tr>
        <w:tc>
          <w:tcPr>
            <w:tcW w:type="dxa" w:w="4320"/>
          </w:tcPr>
          <w:p>
            <w:r>
              <w:t>Impact</w:t>
            </w:r>
          </w:p>
        </w:tc>
        <w:tc>
          <w:tcPr>
            <w:tcW w:type="dxa" w:w="4320"/>
          </w:tcPr>
          <w:p>
            <w:r>
              <w:t>Affects all future Working Prototype and UX Mockups output; does not retroactively fix already-generated artifacts.</w:t>
            </w:r>
          </w:p>
        </w:tc>
      </w:tr>
      <w:tr>
        <w:tc>
          <w:tcPr>
            <w:tcW w:type="dxa" w:w="4320"/>
          </w:tcPr>
          <w:p>
            <w:r>
              <w:t>Owner</w:t>
            </w:r>
          </w:p>
        </w:tc>
        <w:tc>
          <w:tcPr>
            <w:tcW w:type="dxa" w:w="4320"/>
          </w:tcPr>
          <w:p>
            <w:r>
              <w:t>Engineering Lead / Design</w:t>
            </w:r>
          </w:p>
        </w:tc>
      </w:tr>
      <w:tr>
        <w:tc>
          <w:tcPr>
            <w:tcW w:type="dxa" w:w="4320"/>
          </w:tcPr>
          <w:p>
            <w:r>
              <w:t>Date</w:t>
            </w:r>
          </w:p>
        </w:tc>
        <w:tc>
          <w:tcPr>
            <w:tcW w:type="dxa" w:w="4320"/>
          </w:tcPr>
          <w:p>
            <w:r>
              <w:t>2026-07-06</w:t>
            </w:r>
          </w:p>
        </w:tc>
      </w:tr>
      <w:tr>
        <w:tc>
          <w:tcPr>
            <w:tcW w:type="dxa" w:w="4320"/>
          </w:tcPr>
          <w:p>
            <w:r>
              <w:t>Revisit Criteria</w:t>
            </w:r>
          </w:p>
        </w:tc>
        <w:tc>
          <w:tcPr>
            <w:tcW w:type="dxa" w:w="4320"/>
          </w:tcPr>
          <w:p>
            <w:r>
              <w:t>Revisit if a design system introduces a first-class icon font that meets the same theming requirements.</w:t>
            </w:r>
          </w:p>
        </w:tc>
      </w:tr>
    </w:tbl>
    <w:p/>
    <w:p>
      <w:pPr>
        <w:pStyle w:val="Heading2"/>
      </w:pPr>
      <w:r>
        <w:t>Required Diagrams</w:t>
      </w:r>
    </w:p>
    <w:p>
      <w:pPr>
        <w:pStyle w:val="Heading3"/>
      </w:pPr>
      <w:r>
        <w:t>Diagram 1: Decision Governance Flow</w:t>
      </w:r>
    </w:p>
    <w:p>
      <w:r>
        <w:rPr>
          <w:b w:val="0"/>
          <w:i w:val="0"/>
        </w:rPr>
        <w:t>How a decision moves from identified problem to logged, implemented outcome.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Problem[Problem Identified]</w:t>
      </w:r>
    </w:p>
    <w:p>
      <w:pPr>
        <w:shd w:val="clear" w:color="auto" w:fill="F2F2F2"/>
        <w:spacing w:before="0" w:after="0"/>
      </w:pPr>
      <w:r>
        <w:rPr>
          <w:rFonts w:ascii="Consolas" w:hAnsi="Consolas"/>
          <w:color w:val="202020"/>
          <w:sz w:val="18"/>
        </w:rPr>
        <w:t xml:space="preserve">    Options[Options Considered]</w:t>
      </w:r>
    </w:p>
    <w:p>
      <w:pPr>
        <w:shd w:val="clear" w:color="auto" w:fill="F2F2F2"/>
        <w:spacing w:before="0" w:after="0"/>
      </w:pPr>
      <w:r>
        <w:rPr>
          <w:rFonts w:ascii="Consolas" w:hAnsi="Consolas"/>
          <w:color w:val="202020"/>
          <w:sz w:val="18"/>
        </w:rPr>
        <w:t xml:space="preserve">    Decision[Decision Made]</w:t>
      </w:r>
    </w:p>
    <w:p>
      <w:pPr>
        <w:shd w:val="clear" w:color="auto" w:fill="F2F2F2"/>
        <w:spacing w:before="0" w:after="0"/>
      </w:pPr>
      <w:r>
        <w:rPr>
          <w:rFonts w:ascii="Consolas" w:hAnsi="Consolas"/>
          <w:color w:val="202020"/>
          <w:sz w:val="18"/>
        </w:rPr>
        <w:t xml:space="preserve">    Logged[Logged Here]</w:t>
      </w:r>
    </w:p>
    <w:p>
      <w:pPr>
        <w:shd w:val="clear" w:color="auto" w:fill="F2F2F2"/>
        <w:spacing w:before="0" w:after="0"/>
      </w:pPr>
      <w:r>
        <w:rPr>
          <w:rFonts w:ascii="Consolas" w:hAnsi="Consolas"/>
          <w:color w:val="202020"/>
          <w:sz w:val="18"/>
        </w:rPr>
        <w:t xml:space="preserve">    Implemented[Implemented]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Problem --&gt; Options</w:t>
      </w:r>
    </w:p>
    <w:p>
      <w:pPr>
        <w:shd w:val="clear" w:color="auto" w:fill="F2F2F2"/>
        <w:spacing w:before="0" w:after="0"/>
      </w:pPr>
      <w:r>
        <w:rPr>
          <w:rFonts w:ascii="Consolas" w:hAnsi="Consolas"/>
          <w:color w:val="202020"/>
          <w:sz w:val="18"/>
        </w:rPr>
        <w:t xml:space="preserve">    Options --&gt; Decision</w:t>
      </w:r>
    </w:p>
    <w:p>
      <w:pPr>
        <w:shd w:val="clear" w:color="auto" w:fill="F2F2F2"/>
        <w:spacing w:before="0" w:after="0"/>
      </w:pPr>
      <w:r>
        <w:rPr>
          <w:rFonts w:ascii="Consolas" w:hAnsi="Consolas"/>
          <w:color w:val="202020"/>
          <w:sz w:val="18"/>
        </w:rPr>
        <w:t xml:space="preserve">    Decision --&gt; Logged</w:t>
      </w:r>
    </w:p>
    <w:p>
      <w:pPr>
        <w:shd w:val="clear" w:color="auto" w:fill="F2F2F2"/>
        <w:spacing w:before="0" w:after="0"/>
      </w:pPr>
      <w:r>
        <w:rPr>
          <w:rFonts w:ascii="Consolas" w:hAnsi="Consolas"/>
          <w:color w:val="202020"/>
          <w:sz w:val="18"/>
        </w:rPr>
        <w:t xml:space="preserve">    Logged --&gt; Implemented</w:t>
      </w:r>
    </w:p>
    <w:p>
      <w:pPr>
        <w:shd w:val="clear" w:color="auto" w:fill="F2F2F2"/>
        <w:spacing w:before="0" w:after="0"/>
      </w:pPr>
      <w:r>
        <w:rPr>
          <w:rFonts w:ascii="Consolas" w:hAnsi="Consolas"/>
          <w:color w:val="202020"/>
          <w:sz w:val="18"/>
        </w:rPr>
        <w:t>```</w:t>
      </w:r>
    </w:p>
    <w:p/>
    <w:p>
      <w:r>
        <w:rPr>
          <w:b w:val="0"/>
          <w:i w:val="0"/>
        </w:rPr>
        <w:t>All four decisions in this log followed this flow during the current engagement.</w:t>
      </w:r>
    </w:p>
    <w:p>
      <w:r>
        <w:rPr>
          <w:b w:val="0"/>
          <w:i/>
        </w:rPr>
        <w:t>Confidence: High.</w:t>
      </w:r>
    </w:p>
    <w:p/>
    <w:p>
      <w:pPr>
        <w:pStyle w:val="Heading3"/>
      </w:pPr>
      <w:r>
        <w:t>Diagram 2: Option Evaluation Flow</w:t>
      </w:r>
    </w:p>
    <w:p>
      <w:r>
        <w:rPr>
          <w:b w:val="0"/>
          <w:i w:val="0"/>
        </w:rPr>
        <w:t>Generic pattern for how each decision's options were weighed.</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OptionA[Option A]</w:t>
      </w:r>
    </w:p>
    <w:p>
      <w:pPr>
        <w:shd w:val="clear" w:color="auto" w:fill="F2F2F2"/>
        <w:spacing w:before="0" w:after="0"/>
      </w:pPr>
      <w:r>
        <w:rPr>
          <w:rFonts w:ascii="Consolas" w:hAnsi="Consolas"/>
          <w:color w:val="202020"/>
          <w:sz w:val="18"/>
        </w:rPr>
        <w:t xml:space="preserve">    OptionB[Option B]</w:t>
      </w:r>
    </w:p>
    <w:p>
      <w:pPr>
        <w:shd w:val="clear" w:color="auto" w:fill="F2F2F2"/>
        <w:spacing w:before="0" w:after="0"/>
      </w:pPr>
      <w:r>
        <w:rPr>
          <w:rFonts w:ascii="Consolas" w:hAnsi="Consolas"/>
          <w:color w:val="202020"/>
          <w:sz w:val="18"/>
        </w:rPr>
        <w:t xml:space="preserve">    Criteria[Weighed Against Rationale Criteria]</w:t>
      </w:r>
    </w:p>
    <w:p>
      <w:pPr>
        <w:shd w:val="clear" w:color="auto" w:fill="F2F2F2"/>
        <w:spacing w:before="0" w:after="0"/>
      </w:pPr>
      <w:r>
        <w:rPr>
          <w:rFonts w:ascii="Consolas" w:hAnsi="Consolas"/>
          <w:color w:val="202020"/>
          <w:sz w:val="18"/>
        </w:rPr>
        <w:t xml:space="preserve">    Chosen[Chosen Option]</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OptionA --&gt; Criteria</w:t>
      </w:r>
    </w:p>
    <w:p>
      <w:pPr>
        <w:shd w:val="clear" w:color="auto" w:fill="F2F2F2"/>
        <w:spacing w:before="0" w:after="0"/>
      </w:pPr>
      <w:r>
        <w:rPr>
          <w:rFonts w:ascii="Consolas" w:hAnsi="Consolas"/>
          <w:color w:val="202020"/>
          <w:sz w:val="18"/>
        </w:rPr>
        <w:t xml:space="preserve">    OptionB --&gt; Criteria</w:t>
      </w:r>
    </w:p>
    <w:p>
      <w:pPr>
        <w:shd w:val="clear" w:color="auto" w:fill="F2F2F2"/>
        <w:spacing w:before="0" w:after="0"/>
      </w:pPr>
      <w:r>
        <w:rPr>
          <w:rFonts w:ascii="Consolas" w:hAnsi="Consolas"/>
          <w:color w:val="202020"/>
          <w:sz w:val="18"/>
        </w:rPr>
        <w:t xml:space="preserve">    Criteria --&gt; Chosen</w:t>
      </w:r>
    </w:p>
    <w:p>
      <w:pPr>
        <w:shd w:val="clear" w:color="auto" w:fill="F2F2F2"/>
        <w:spacing w:before="0" w:after="0"/>
      </w:pPr>
      <w:r>
        <w:rPr>
          <w:rFonts w:ascii="Consolas" w:hAnsi="Consolas"/>
          <w:color w:val="202020"/>
          <w:sz w:val="18"/>
        </w:rPr>
        <w:t>```</w:t>
      </w:r>
    </w:p>
    <w:p/>
    <w:p>
      <w:r>
        <w:rPr>
          <w:b w:val="0"/>
          <w:i w:val="0"/>
        </w:rPr>
        <w:t>Options were evaluated against structural correctness (does it actually prevent the problem) rather than convenience, consistent with the rationale column in Section 2.</w:t>
      </w:r>
    </w:p>
    <w:p>
      <w:r>
        <w:rPr>
          <w:b w:val="0"/>
          <w:i/>
        </w:rPr>
        <w:t>Confidence: High.</w:t>
      </w:r>
    </w:p>
    <w:p/>
    <w:p>
      <w:pPr>
        <w:pStyle w:val="Heading3"/>
      </w:pPr>
      <w:r>
        <w:t>Diagram 3: Decision Impact Map</w:t>
      </w:r>
    </w:p>
    <w:p>
      <w:r>
        <w:rPr>
          <w:b w:val="0"/>
          <w:i w:val="0"/>
        </w:rPr>
        <w:t>Which system areas each of the four decisions touches.</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DEC01[DEC-01 Review Gates]</w:t>
      </w:r>
    </w:p>
    <w:p>
      <w:pPr>
        <w:shd w:val="clear" w:color="auto" w:fill="F2F2F2"/>
        <w:spacing w:before="0" w:after="0"/>
      </w:pPr>
      <w:r>
        <w:rPr>
          <w:rFonts w:ascii="Consolas" w:hAnsi="Consolas"/>
          <w:color w:val="202020"/>
          <w:sz w:val="18"/>
        </w:rPr>
        <w:t xml:space="preserve">    DEC02[DEC-02 CSP Policy]</w:t>
      </w:r>
    </w:p>
    <w:p>
      <w:pPr>
        <w:shd w:val="clear" w:color="auto" w:fill="F2F2F2"/>
        <w:spacing w:before="0" w:after="0"/>
      </w:pPr>
      <w:r>
        <w:rPr>
          <w:rFonts w:ascii="Consolas" w:hAnsi="Consolas"/>
          <w:color w:val="202020"/>
          <w:sz w:val="18"/>
        </w:rPr>
        <w:t xml:space="preserve">    DEC03[DEC-03 Agent Budgets]</w:t>
      </w:r>
    </w:p>
    <w:p>
      <w:pPr>
        <w:shd w:val="clear" w:color="auto" w:fill="F2F2F2"/>
        <w:spacing w:before="0" w:after="0"/>
      </w:pPr>
      <w:r>
        <w:rPr>
          <w:rFonts w:ascii="Consolas" w:hAnsi="Consolas"/>
          <w:color w:val="202020"/>
          <w:sz w:val="18"/>
        </w:rPr>
        <w:t xml:space="preserve">    DEC04[DEC-04 UI Generation]</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DEC01 --&gt; Delivery[Delivery Governance]</w:t>
      </w:r>
    </w:p>
    <w:p>
      <w:pPr>
        <w:shd w:val="clear" w:color="auto" w:fill="F2F2F2"/>
        <w:spacing w:before="0" w:after="0"/>
      </w:pPr>
      <w:r>
        <w:rPr>
          <w:rFonts w:ascii="Consolas" w:hAnsi="Consolas"/>
          <w:color w:val="202020"/>
          <w:sz w:val="18"/>
        </w:rPr>
        <w:t xml:space="preserve">    DEC02 --&gt; Security[Security Policy]</w:t>
      </w:r>
    </w:p>
    <w:p>
      <w:pPr>
        <w:shd w:val="clear" w:color="auto" w:fill="F2F2F2"/>
        <w:spacing w:before="0" w:after="0"/>
      </w:pPr>
      <w:r>
        <w:rPr>
          <w:rFonts w:ascii="Consolas" w:hAnsi="Consolas"/>
          <w:color w:val="202020"/>
          <w:sz w:val="18"/>
        </w:rPr>
        <w:t xml:space="preserve">    DEC03 --&gt; Reliability[Pipeline Reliability]</w:t>
      </w:r>
    </w:p>
    <w:p>
      <w:pPr>
        <w:shd w:val="clear" w:color="auto" w:fill="F2F2F2"/>
        <w:spacing w:before="0" w:after="0"/>
      </w:pPr>
      <w:r>
        <w:rPr>
          <w:rFonts w:ascii="Consolas" w:hAnsi="Consolas"/>
          <w:color w:val="202020"/>
          <w:sz w:val="18"/>
        </w:rPr>
        <w:t xml:space="preserve">    DEC04 --&gt; UX[Generated UX Quality]</w:t>
      </w:r>
    </w:p>
    <w:p>
      <w:pPr>
        <w:shd w:val="clear" w:color="auto" w:fill="F2F2F2"/>
        <w:spacing w:before="0" w:after="0"/>
      </w:pPr>
      <w:r>
        <w:rPr>
          <w:rFonts w:ascii="Consolas" w:hAnsi="Consolas"/>
          <w:color w:val="202020"/>
          <w:sz w:val="18"/>
        </w:rPr>
        <w:t>```</w:t>
      </w:r>
    </w:p>
    <w:p/>
    <w:p>
      <w:r>
        <w:rPr>
          <w:b w:val="0"/>
          <w:i w:val="0"/>
        </w:rPr>
        <w:t>Each decision maps cleanly to one primary impact area, useful for prioritizing review when revisiting any single decision.</w:t>
      </w:r>
    </w:p>
    <w:p>
      <w:r>
        <w:rPr>
          <w:b w:val="0"/>
          <w:i/>
        </w:rPr>
        <w:t>Confidence: High.</w:t>
      </w:r>
    </w:p>
    <w:p/>
    <w:p>
      <w:pPr>
        <w:pStyle w:val="Heading1"/>
      </w:pPr>
      <w:r>
        <w:t>3. Confidence Level</w:t>
      </w:r>
    </w:p>
    <w:p>
      <w:r>
        <w:rPr>
          <w:b w:val="0"/>
          <w:i w:val="0"/>
        </w:rPr>
        <w:t>Overall confidence: 0.9. All four decisions are directly grounded in code changes made and verified this engagement, with clear before/after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