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Knowledge Transfer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KT Scope</w:t>
      </w:r>
    </w:p>
    <w:p>
      <w:r>
        <w:rPr>
          <w:b w:val="0"/>
          <w:i w:val="0"/>
        </w:rPr>
        <w:t>Transfers knowledge of this engagement's four fixes and the broader architecture context needed to maintain them, to any engineer joining the project.</w:t>
      </w:r>
    </w:p>
    <w:p>
      <w:pPr>
        <w:pStyle w:val="Heading1"/>
      </w:pPr>
      <w:r>
        <w:t>2. Audience</w:t>
      </w:r>
    </w:p>
    <w:p>
      <w:r>
        <w:rPr>
          <w:b w:val="0"/>
          <w:i w:val="0"/>
        </w:rPr>
        <w:t>[Current-state confirmed] Any engineer or architect joining this project without prior context on this engagement's changes.</w:t>
      </w:r>
    </w:p>
    <w:p>
      <w:pPr>
        <w:pStyle w:val="Heading1"/>
      </w:pPr>
      <w:r>
        <w:t>3. Knowledge Areas</w:t>
      </w:r>
    </w:p>
    <w:p>
      <w:r>
        <w:rPr>
          <w:b w:val="0"/>
          <w:i w:val="0"/>
        </w:rPr>
        <w:t>[Current-state confirmed] Same five areas as the Support Handover Document (#66): review gates, admin reset, agent budgets, CSP policy, accessibility. This document adds the reasoning (why), not just the facts (what), which #66 focuses on.</w:t>
      </w:r>
    </w:p>
    <w:p>
      <w:pPr>
        <w:pStyle w:val="Heading1"/>
      </w:pPr>
      <w:r>
        <w:t>4. Session Plan</w:t>
      </w:r>
    </w:p>
    <w:p>
      <w:r>
        <w:rPr>
          <w:b w:val="0"/>
          <w:i w:val="0"/>
        </w:rPr>
        <w:t>[Current-state confirmed] No formal KT session has been scheduled; this document is written to be self-sufficient in the absence of one.</w:t>
      </w:r>
    </w:p>
    <w:p>
      <w:pPr>
        <w:pStyle w:val="Heading1"/>
      </w:pPr>
      <w:r>
        <w:t>5. Artifacts</w:t>
      </w:r>
    </w:p>
    <w:p>
      <w:pPr>
        <w:pStyle w:val="ListBullet"/>
      </w:pPr>
      <w:r>
        <w:t>docs/Agentic-SDLC-Architecture.docx — the full architecture reference.</w:t>
      </w:r>
    </w:p>
    <w:p>
      <w:pPr>
        <w:pStyle w:val="ListBullet"/>
      </w:pPr>
      <w:r>
        <w:t>This 72-document AgenticSDLC_Docs pack.</w:t>
      </w:r>
    </w:p>
    <w:p>
      <w:pPr>
        <w:pStyle w:val="ListBullet"/>
      </w:pPr>
      <w:r>
        <w:t>docs/Document-Agent-Feature-Plan.md — a pending feature plan, not yet implemented.</w:t>
      </w:r>
    </w:p>
    <w:p>
      <w:pPr>
        <w:pStyle w:val="Heading1"/>
      </w:pPr>
      <w:r>
        <w:t>6. Validation</w:t>
      </w:r>
    </w:p>
    <w:p>
      <w:r>
        <w:rPr>
          <w:b w:val="0"/>
          <w:i w:val="0"/>
        </w:rPr>
        <w:t>[Target-state recommendation] Recommend the receiving engineer independently re-verify at least one of the 5 test cases (Test Case Document, #44) as a practical KT validation exercise.</w:t>
      </w:r>
    </w:p>
    <w:p>
      <w:pPr>
        <w:pStyle w:val="Heading1"/>
      </w:pPr>
      <w:r>
        <w:t>7. Ownership</w:t>
      </w:r>
    </w:p>
    <w:p>
      <w:r>
        <w:rPr>
          <w:b w:val="0"/>
          <w:i w:val="0"/>
        </w:rPr>
        <w:t>[Assumption] Named ownership was not available; Engineering Lead is the presumed knowledge owner for all five areas.</w:t>
      </w:r>
    </w:p>
    <w:p>
      <w:pPr>
        <w:pStyle w:val="Heading1"/>
      </w:pPr>
      <w:r>
        <w:t>8. Open Items</w:t>
      </w:r>
    </w:p>
    <w:p>
      <w:pPr>
        <w:pStyle w:val="ListBullet"/>
      </w:pPr>
      <w:r>
        <w:t>The pending unit/integration/E2E test-suite update.</w:t>
      </w:r>
    </w:p>
    <w:p>
      <w:pPr>
        <w:pStyle w:val="ListBullet"/>
      </w:pPr>
      <w:r>
        <w:t>The Document Agent feature plan, pending approval.</w:t>
      </w:r>
    </w:p>
    <w:p>
      <w:pPr>
        <w:pStyle w:val="ListBullet"/>
      </w:pPr>
      <w:r>
        <w:t>The two open questions about server/'s production role.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KT Flow</w:t>
      </w:r>
    </w:p>
    <w:p>
      <w:r>
        <w:rPr>
          <w:b w:val="0"/>
          <w:i w:val="0"/>
        </w:rPr>
        <w:t>How knowledge should transfer from this engagement to a new engineer.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Document[Read This Document Set]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Architecture[Read Architecture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Validate[Re Verify One Test Case]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Confident[Confident To Maintain]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Document --&gt; Architecture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Architecture --&gt; Validate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Validate --&gt; Confident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 practical, hands-on validation step (re-running a test case) is included rather than relying on reading alone.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Artifact Handover Flow</w:t>
      </w:r>
    </w:p>
    <w:p>
      <w:r>
        <w:rPr>
          <w:b w:val="0"/>
          <w:i w:val="0"/>
        </w:rPr>
        <w:t>Which artifacts hand off which knowledge.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ArchDoc[Architecture Document]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DocPack[This 72 Document Pack]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FeaturePlan[Document Agent Feature Plan]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ArchDoc --&gt; NewEngineer[New Engineer]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DocPack --&gt; NewEngineer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FeaturePlan --&gt; NewEngineer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All three artifacts are needed for full context; none alone is sufficient.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Validation Flow</w:t>
      </w:r>
    </w:p>
    <w:p>
      <w:r>
        <w:rPr>
          <w:b w:val="0"/>
          <w:i w:val="0"/>
        </w:rPr>
        <w:t>How KT completion would be validated.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Session[KT Complete]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TestCase[Re Run A Test Case]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Pass[Confirms Understanding]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Session --&gt; TestCase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TestCase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recommended validation approach in Section 6.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0.85. High — this document's content is directly grounded in this engagement's actual, verified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