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Test Strategy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Test Strategy Overview</w:t>
      </w:r>
    </w:p>
    <w:p>
      <w:r>
        <w:rPr>
          <w:b w:val="0"/>
          <w:i w:val="0"/>
        </w:rPr>
        <w:t>[Current-state confirmed] This document maps to the platform's existing testPlan agent output category, framed at a strategic rather than execution level. Current stack: Vitest + @testing-library/react + jsdom for frontend, Jest for backend, both wired into GitHub Actions CI.</w:t>
      </w:r>
    </w:p>
    <w:p>
      <w:pPr>
        <w:pStyle w:val="Heading1"/>
      </w:pPr>
      <w:r>
        <w:t>2. Quality Goals</w:t>
      </w:r>
    </w:p>
    <w:p>
      <w:pPr>
        <w:pStyle w:val="ListBullet"/>
      </w:pPr>
      <w:r>
        <w:t>Maintain the existing 90% frontend coverage threshold (vite.config.ts).</w:t>
      </w:r>
    </w:p>
    <w:p>
      <w:pPr>
        <w:pStyle w:val="ListBullet"/>
      </w:pPr>
      <w:r>
        <w:t>Close the gap between documented architecture intent and verified behavior — explicitly called out as unresolved in the Architecture Document's Risks and Mitigations, area 15.</w:t>
      </w:r>
    </w:p>
    <w:p>
      <w:pPr>
        <w:pStyle w:val="Heading1"/>
      </w:pPr>
      <w:r>
        <w:t>3. Test Levels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880"/>
          </w:tcPr>
          <w:p>
            <w:r>
              <w:t>Unit</w:t>
            </w:r>
          </w:p>
        </w:tc>
        <w:tc>
          <w:tcPr>
            <w:tcW w:type="dxa" w:w="2880"/>
          </w:tcPr>
          <w:p>
            <w:r>
              <w:t>Vitest (frontend), Jest (backend), both in CI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Integration</w:t>
            </w:r>
          </w:p>
        </w:tc>
        <w:tc>
          <w:tcPr>
            <w:tcW w:type="dxa" w:w="2880"/>
          </w:tcPr>
          <w:p>
            <w:r>
              <w:t>Not confirmed as a distinct suite beyond unit tests</w:t>
            </w:r>
          </w:p>
        </w:tc>
        <w:tc>
          <w:tcPr>
            <w:tcW w:type="dxa" w:w="2880"/>
          </w:tcPr>
          <w:p>
            <w:r>
              <w:t>Open</w:t>
            </w:r>
          </w:p>
        </w:tc>
      </w:tr>
      <w:tr>
        <w:tc>
          <w:tcPr>
            <w:tcW w:type="dxa" w:w="2880"/>
          </w:tcPr>
          <w:p>
            <w:r>
              <w:t>E2E</w:t>
            </w:r>
          </w:p>
        </w:tc>
        <w:tc>
          <w:tcPr>
            <w:tcW w:type="dxa" w:w="2880"/>
          </w:tcPr>
          <w:p>
            <w:r>
              <w:t>Not confirmed — no Playwright/Cypress config found</w:t>
            </w:r>
          </w:p>
        </w:tc>
        <w:tc>
          <w:tcPr>
            <w:tcW w:type="dxa" w:w="2880"/>
          </w:tcPr>
          <w:p>
            <w:r>
              <w:t>Open</w:t>
            </w:r>
          </w:p>
        </w:tc>
      </w:tr>
      <w:tr>
        <w:tc>
          <w:tcPr>
            <w:tcW w:type="dxa" w:w="2880"/>
          </w:tcPr>
          <w:p>
            <w:r>
              <w:t>Manual/exploratory</w:t>
            </w:r>
          </w:p>
        </w:tc>
        <w:tc>
          <w:tcPr>
            <w:tcW w:type="dxa" w:w="2880"/>
          </w:tcPr>
          <w:p>
            <w:r>
              <w:t>Used this engagement to verify review-gate and CSP fixes</w:t>
            </w:r>
          </w:p>
        </w:tc>
        <w:tc>
          <w:tcPr>
            <w:tcW w:type="dxa" w:w="2880"/>
          </w:tcPr>
          <w:p>
            <w:r>
              <w:t>High — but not automated</w:t>
            </w:r>
          </w:p>
        </w:tc>
      </w:tr>
    </w:tbl>
    <w:p/>
    <w:p>
      <w:pPr>
        <w:pStyle w:val="Heading1"/>
      </w:pPr>
      <w:r>
        <w:t>4. Coverage Model</w:t>
      </w:r>
    </w:p>
    <w:p>
      <w:r>
        <w:rPr>
          <w:b w:val="0"/>
          <w:i w:val="0"/>
        </w:rPr>
        <w:t>[Current-state confirmed] 90% threshold enforced for frontend via vite.config.ts; existing tests like DiagramPreview.test.tsx mock Mermaid entirely rather than exercising real rendering — a real, confirmed coverage-quality gap, not just a quantity gap.</w:t>
      </w:r>
    </w:p>
    <w:p>
      <w:pPr>
        <w:pStyle w:val="Heading1"/>
      </w:pPr>
      <w:r>
        <w:t>5. Automation Strategy</w:t>
      </w:r>
    </w:p>
    <w:p>
      <w:r>
        <w:rPr>
          <w:b w:val="0"/>
          <w:i w:val="0"/>
        </w:rPr>
        <w:t>[Current-state confirmed] See the dedicated Automation Test Plan (#45) of this document set.</w:t>
      </w:r>
    </w:p>
    <w:p>
      <w:pPr>
        <w:pStyle w:val="Heading1"/>
      </w:pPr>
      <w:r>
        <w:t>6. Environments</w:t>
      </w:r>
    </w:p>
    <w:p>
      <w:r>
        <w:rPr>
          <w:b w:val="0"/>
          <w:i w:val="0"/>
        </w:rPr>
        <w:t>[Current-state confirmed] Tests run in CI against a real Postgres service container (backend) per ci.yml; no separate staging environment for test execution was found.</w:t>
      </w:r>
    </w:p>
    <w:p>
      <w:pPr>
        <w:pStyle w:val="Heading1"/>
      </w:pPr>
      <w:r>
        <w:t>7. Quality Gates</w:t>
      </w:r>
    </w:p>
    <w:p>
      <w:r>
        <w:rPr>
          <w:b w:val="0"/>
          <w:i w:val="0"/>
        </w:rPr>
        <w:t>[Current-state confirmed] CI must pass (tsc, jest, vitest with coverage threshold) before merge is presumed required; whether this is enforced via branch protection was not independently confirmed.</w:t>
      </w:r>
    </w:p>
    <w:p>
      <w:pPr>
        <w:pStyle w:val="Heading1"/>
      </w:pPr>
      <w:r>
        <w:t>8. Risks</w:t>
      </w:r>
    </w:p>
    <w:p>
      <w:pPr>
        <w:pStyle w:val="ListBullet"/>
      </w:pPr>
      <w:r>
        <w:t>The explicitly still-pending unit/integration/E2E test-suite update task means current test coverage may not reflect the actual current codebase behavior, especially for recently-fixed areas (review gates, CSP, agent budgets, accessibility).</w:t>
      </w:r>
    </w:p>
    <w:p>
      <w:pPr>
        <w:pStyle w:val="ListBullet"/>
      </w:pPr>
      <w:r>
        <w:t>Mocked Mermaid rendering in existing tests means a real rendering regression could pass CI undetected.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Test Strategy Pyramid</w:t>
      </w:r>
    </w:p>
    <w:p>
      <w:r>
        <w:rPr>
          <w:b w:val="0"/>
          <w:i w:val="0"/>
        </w:rPr>
        <w:t>Current test-level distribution, showing gaps at the integration and E2E layers.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TB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Unit[Unit Tests Vitest Jest]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Integration[Integration Tests Not Confirmed]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E2E[E2E Tests Not Confirmed]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Manual[Manual Verification This Engagement]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Unit --&gt; Integration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Integration --&gt; E2E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Manual --&gt; Unit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The pyramid is top-heavy on manual verification and unit tests, with confirmed gaps at integration and E2E.</w:t>
      </w:r>
    </w:p>
    <w:p>
      <w:r>
        <w:rPr>
          <w:b w:val="0"/>
          <w:i/>
        </w:rPr>
        <w:t>Confidence: High — accurately reflects confirmed current-state coverage.</w:t>
      </w:r>
    </w:p>
    <w:p/>
    <w:p>
      <w:pPr>
        <w:pStyle w:val="Heading3"/>
      </w:pPr>
      <w:r>
        <w:t>Diagram 2: Quality Gate Flow</w:t>
      </w:r>
    </w:p>
    <w:p>
      <w:r>
        <w:rPr>
          <w:b w:val="0"/>
          <w:i w:val="0"/>
        </w:rPr>
        <w:t>What currently gates a merge to main.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PR[Pull Request]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CI[tsc Jest Vitest Coverage]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Pass[Passes Threshold]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Merge[Merge Allowed]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 --&gt; CI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CI --&gt; Pass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Pass --&gt; Merge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confirmed ci.yml structure.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3: Risk Based Test Flow</w:t>
      </w:r>
    </w:p>
    <w:p>
      <w:r>
        <w:rPr>
          <w:b w:val="0"/>
          <w:i w:val="0"/>
        </w:rPr>
        <w:t>How testing priority should follow this engagement's risk findings.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HighRisk[Review Gates Admin Reset Agent Budgets]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PriorityTests[Highest Test Priority]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LowerRisk[Other Areas]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StandardTests[Standard Coverage]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HighRisk --&gt; PriorityTests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LowerRisk --&gt; StandardTests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Prioritizes the four governance-critical fixes made this engagement for the first regression tests written under the pending test-suite update.</w:t>
      </w:r>
    </w:p>
    <w:p>
      <w:r>
        <w:rPr>
          <w:b w:val="0"/>
          <w:i/>
        </w:rPr>
        <w:t>Confidence: High.</w:t>
      </w:r>
    </w:p>
    <w:p/>
    <w:p>
      <w:pPr>
        <w:pStyle w:val="Heading1"/>
      </w:pPr>
      <w:r>
        <w:t>9. Confidence Level</w:t>
      </w:r>
    </w:p>
    <w:p>
      <w:r>
        <w:rPr>
          <w:b w:val="0"/>
          <w:i w:val="0"/>
        </w:rPr>
        <w:t>Overall confidence: 0.8. High on confirmed current test stack and coverage threshold. Medium on integration/E2E gaps, which are inferred from absence of evidence rather than an exhaustive search.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