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Design System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Design Principles</w:t>
      </w:r>
    </w:p>
    <w:p>
      <w:pPr>
        <w:pStyle w:val="ListBullet"/>
      </w:pPr>
      <w:r>
        <w:t>Icon-only controls must carry an aria-label and use inline SVG, never emoji.</w:t>
      </w:r>
    </w:p>
    <w:p>
      <w:pPr>
        <w:pStyle w:val="ListBullet"/>
      </w:pPr>
      <w:r>
        <w:t>Keyboard focus must always be visible (:focus-visible ring), not just mouse hover states.</w:t>
      </w:r>
    </w:p>
    <w:p>
      <w:pPr>
        <w:pStyle w:val="ListBullet"/>
      </w:pPr>
      <w:r>
        <w:t>Master reference data is never destroyed by convenience actions.</w:t>
      </w:r>
    </w:p>
    <w:p>
      <w:pPr>
        <w:pStyle w:val="Heading1"/>
      </w:pPr>
      <w:r>
        <w:t>2. Foundations</w:t>
      </w:r>
    </w:p>
    <w:p>
      <w:r>
        <w:rPr>
          <w:b w:val="0"/>
          <w:i w:val="0"/>
        </w:rPr>
        <w:t>[Current-state confirmed] Design tokens are CSS custom properties in frontend/src/index.css: --bg, --surface, --surface2, --border, --text, --text-muted, --accent, --accent-hover, --success, --warning, --error, --radius, --font. A light-theme override block exists under [data-theme="light"].</w:t>
      </w:r>
    </w:p>
    <w:p>
      <w:pPr>
        <w:pStyle w:val="Heading1"/>
      </w:pPr>
      <w:r>
        <w:t>3. Typography</w:t>
      </w:r>
    </w:p>
    <w:p>
      <w:r>
        <w:rPr>
          <w:b w:val="0"/>
          <w:i w:val="0"/>
        </w:rPr>
        <w:t>[Current-state confirmed] --font: 'Inter', system-ui, sans-serif; base body font-size 14px, line-height 1.5.</w:t>
      </w:r>
    </w:p>
    <w:p>
      <w:pPr>
        <w:pStyle w:val="Heading1"/>
      </w:pPr>
      <w:r>
        <w:t>4. Color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Dark 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Light Theme</w:t>
            </w:r>
          </w:p>
        </w:tc>
      </w:tr>
      <w:tr>
        <w:tc>
          <w:tcPr>
            <w:tcW w:type="dxa" w:w="2880"/>
          </w:tcPr>
          <w:p>
            <w:r>
              <w:t>--bg</w:t>
            </w:r>
          </w:p>
        </w:tc>
        <w:tc>
          <w:tcPr>
            <w:tcW w:type="dxa" w:w="2880"/>
          </w:tcPr>
          <w:p>
            <w:r>
              <w:t>#0f172a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</w:tr>
      <w:tr>
        <w:tc>
          <w:tcPr>
            <w:tcW w:type="dxa" w:w="2880"/>
          </w:tcPr>
          <w:p>
            <w:r>
              <w:t>--surface</w:t>
            </w:r>
          </w:p>
        </w:tc>
        <w:tc>
          <w:tcPr>
            <w:tcW w:type="dxa" w:w="2880"/>
          </w:tcPr>
          <w:p>
            <w:r>
              <w:t>#1e293b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--accent</w:t>
            </w:r>
          </w:p>
        </w:tc>
        <w:tc>
          <w:tcPr>
            <w:tcW w:type="dxa" w:w="2880"/>
          </w:tcPr>
          <w:p>
            <w:r>
              <w:t>#6366f1</w:t>
            </w:r>
          </w:p>
        </w:tc>
        <w:tc>
          <w:tcPr>
            <w:tcW w:type="dxa" w:w="2880"/>
          </w:tcPr>
          <w:p>
            <w:r>
              <w:t>#6366f1</w:t>
            </w:r>
          </w:p>
        </w:tc>
      </w:tr>
      <w:tr>
        <w:tc>
          <w:tcPr>
            <w:tcW w:type="dxa" w:w="2880"/>
          </w:tcPr>
          <w:p>
            <w:r>
              <w:t>--success</w:t>
            </w:r>
          </w:p>
        </w:tc>
        <w:tc>
          <w:tcPr>
            <w:tcW w:type="dxa" w:w="2880"/>
          </w:tcPr>
          <w:p>
            <w:r>
              <w:t>#22c55e</w:t>
            </w:r>
          </w:p>
        </w:tc>
        <w:tc>
          <w:tcPr>
            <w:tcW w:type="dxa" w:w="2880"/>
          </w:tcPr>
          <w:p>
            <w:r>
              <w:t>#16a34a</w:t>
            </w:r>
          </w:p>
        </w:tc>
      </w:tr>
      <w:tr>
        <w:tc>
          <w:tcPr>
            <w:tcW w:type="dxa" w:w="2880"/>
          </w:tcPr>
          <w:p>
            <w:r>
              <w:t>--error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  <w:tc>
          <w:tcPr>
            <w:tcW w:type="dxa" w:w="2880"/>
          </w:tcPr>
          <w:p>
            <w:r>
              <w:t>#dc2626</w:t>
            </w:r>
          </w:p>
        </w:tc>
      </w:tr>
    </w:tbl>
    <w:p/>
    <w:p>
      <w:pPr>
        <w:pStyle w:val="Heading1"/>
      </w:pPr>
      <w:r>
        <w:t>5. Components</w:t>
      </w:r>
    </w:p>
    <w:p>
      <w:r>
        <w:rPr>
          <w:b w:val="0"/>
          <w:i w:val="0"/>
        </w:rPr>
        <w:t>[Current-state confirmed] Buttons (.btn-primary, .btn-secondary, .btn-danger), form inputs with shared focus styling, and a .sr-only utility class for screen-reader-only content are the confirmed shared component-level styles.</w:t>
      </w:r>
    </w:p>
    <w:p>
      <w:pPr>
        <w:pStyle w:val="Heading1"/>
      </w:pPr>
      <w:r>
        <w:t>6. Patterns</w:t>
      </w:r>
    </w:p>
    <w:p>
      <w:r>
        <w:rPr>
          <w:b w:val="0"/>
          <w:i w:val="0"/>
        </w:rPr>
        <w:t>[Current-state confirmed] Modal-based confirmation for destructive actions (admin reset); disabled-button-with-tooltip for blocked actions (review gate) — both confirmed, consistent patterns across the codebase.</w:t>
      </w:r>
    </w:p>
    <w:p>
      <w:pPr>
        <w:pStyle w:val="Heading1"/>
      </w:pPr>
      <w:r>
        <w:t>7. Accessibility</w:t>
      </w:r>
    </w:p>
    <w:p>
      <w:r>
        <w:rPr>
          <w:b w:val="0"/>
          <w:i w:val="0"/>
        </w:rPr>
        <w:t>[Current-state confirmed] Global :focus-visible outline (2px solid var(--accent)) added this engagement, plus 10 aria-labels added across 4 components. Contrast ratios were not independently re-measured this engagement beyond what's implied by the token choices.</w:t>
      </w:r>
    </w:p>
    <w:p>
      <w:pPr>
        <w:pStyle w:val="Heading1"/>
      </w:pPr>
      <w:r>
        <w:t>8. Governance</w:t>
      </w:r>
    </w:p>
    <w:p>
      <w:r>
        <w:rPr>
          <w:b w:val="0"/>
          <w:i w:val="0"/>
        </w:rPr>
        <w:t>[Open question] No formal design-system governance process (contribution guidelines, versioning) was found; tokens live directly in index.css without a separate tokens file or build step.</w:t>
      </w:r>
    </w:p>
    <w:p>
      <w:pPr>
        <w:pStyle w:val="Heading1"/>
      </w:pPr>
      <w:r>
        <w:t>9. Usage Rules</w:t>
      </w:r>
    </w:p>
    <w:p>
      <w:r>
        <w:rPr>
          <w:b w:val="0"/>
          <w:i w:val="0"/>
        </w:rPr>
        <w:t>[Current-state confirmed] UI-generating agents (uxMockups, workingPrototype) are now prompted to require inline SVG icons and meet the accessibility baseline — the closest thing to an enforced usage rule, though it is prompt-level, not a linter or build-time check.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Component Hierarchy</w:t>
      </w:r>
    </w:p>
    <w:p>
      <w:r>
        <w:rPr>
          <w:b w:val="0"/>
          <w:i w:val="0"/>
        </w:rPr>
        <w:t>How shared component styles relate to design tokens.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Tokens[CSS Custom Properties]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Buttons[Button Variants]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Inputs[Form Inputs]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Utility[sr only Utility]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Tokens --&gt; Buttons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Tokens --&gt; Inputs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Tokens --&gt; Utility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token-to-component relationship in index.css.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Design Token Flow</w:t>
      </w:r>
    </w:p>
    <w:p>
      <w:r>
        <w:rPr>
          <w:b w:val="0"/>
          <w:i w:val="0"/>
        </w:rPr>
        <w:t>How a token value flows from definition to themed output.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Root[Root Token Definition]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Component[Component Style Rule]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LightTheme[Light Theme Override]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Rendered[Rendered UI]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Root --&gt; Component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LightTheme --&gt; Component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Component --&gt; Rendered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[data-theme=light] override pattern.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Component Lifecycle Flow</w:t>
      </w:r>
    </w:p>
    <w:p>
      <w:r>
        <w:rPr>
          <w:b w:val="0"/>
          <w:i w:val="0"/>
        </w:rPr>
        <w:t>How a new UI-generating agent's output should be checked against this design system.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Generated[Agent Generates UI]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Check[Check Against Usage Rules]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Pass[Meets Accessibility Baseline]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Fail[Missing Aria Label Or Uses Emoji]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Generated --&gt; 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Fail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check is currently manual/prompt-level, not automated.</w:t>
      </w:r>
    </w:p>
    <w:p>
      <w:r>
        <w:rPr>
          <w:b w:val="0"/>
          <w:i/>
        </w:rPr>
        <w:t>Assumptions: No automated linter enforces this; relies on the LLM following its system prompt.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confirmed tokens and components (directly read from index.css). Medium on governance and enforcement, both informal/prompt-level rather than tooled.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