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232F3E"/>
          <w:sz w:val="48"/>
        </w:rPr>
        <w:t>AWS 3-Tier Enterprise Cloud Deployment Report</w:t>
      </w:r>
    </w:p>
    <w:p>
      <w:pPr>
        <w:spacing w:after="480"/>
        <w:jc w:val="center"/>
      </w:pPr>
      <w:r>
        <w:rPr>
          <w:rFonts w:ascii="Calibri" w:hAnsi="Calibri"/>
          <w:i/>
          <w:color w:val="E87D00"/>
          <w:sz w:val="28"/>
        </w:rPr>
        <w:t>Migrating from Local Development to Managed EC2 and ECS Architecture</w:t>
      </w:r>
    </w:p>
    <w:p>
      <w:pPr>
        <w:spacing w:after="360"/>
        <w:pBdr>
          <w:bottom w:val="single" w:sz="6" w:space="1" w:color="CCCCCC"/>
        </w:pBdr>
      </w:pPr>
    </w:p>
    <w:tbl>
      <w:tblPr>
        <w:tblW w:type="auto" w:w="0"/>
        <w:jc w:val="center"/>
        <w:tblLook w:firstColumn="1" w:firstRow="1" w:lastColumn="0" w:lastRow="0" w:noHBand="0" w:noVBand="1" w:val="04A0"/>
      </w:tblPr>
      <w:tblGrid>
        <w:gridCol w:w="4680"/>
        <w:gridCol w:w="4680"/>
      </w:tblGrid>
      <w:tr>
        <w:tc>
          <w:tcPr>
            <w:tcW w:type="dxa" w:w="4680"/>
            <w:shd w:fill="F2F3F3"/>
            <w:tcMar>
              <w:top w:w="100" w:type="dxa"/>
              <w:left w:w="150" w:type="dxa"/>
              <w:bottom w:w="100" w:type="dxa"/>
              <w:right w:w="150" w:type="dxa"/>
            </w:tcMar>
          </w:tcPr>
          <w:p>
            <w:r>
              <w:rPr>
                <w:b/>
                <w:color w:val="232F3E"/>
              </w:rPr>
              <w:t>Project Name</w:t>
            </w:r>
          </w:p>
        </w:tc>
        <w:tc>
          <w:tcPr>
            <w:tcW w:type="dxa" w:w="4680"/>
            <w:shd w:fill="FFFFFF"/>
            <w:tcMar>
              <w:top w:w="100" w:type="dxa"/>
              <w:left w:w="150" w:type="dxa"/>
              <w:bottom w:w="100" w:type="dxa"/>
              <w:right w:w="150" w:type="dxa"/>
            </w:tcMar>
          </w:tcPr>
          <w:p>
            <w:r>
              <w:rPr>
                <w:color w:val="333333"/>
              </w:rPr>
              <w:t>SipSugy Online Juice Ordering Platform</w:t>
            </w:r>
          </w:p>
        </w:tc>
      </w:tr>
      <w:tr>
        <w:tc>
          <w:tcPr>
            <w:tcW w:type="dxa" w:w="4680"/>
            <w:shd w:fill="F2F3F3"/>
            <w:tcMar>
              <w:top w:w="100" w:type="dxa"/>
              <w:left w:w="150" w:type="dxa"/>
              <w:bottom w:w="100" w:type="dxa"/>
              <w:right w:w="150" w:type="dxa"/>
            </w:tcMar>
          </w:tcPr>
          <w:p>
            <w:r>
              <w:rPr>
                <w:b/>
                <w:color w:val="232F3E"/>
              </w:rPr>
              <w:t>Target Region</w:t>
            </w:r>
          </w:p>
        </w:tc>
        <w:tc>
          <w:tcPr>
            <w:tcW w:type="dxa" w:w="4680"/>
            <w:shd w:fill="FFFFFF"/>
            <w:tcMar>
              <w:top w:w="100" w:type="dxa"/>
              <w:left w:w="150" w:type="dxa"/>
              <w:bottom w:w="100" w:type="dxa"/>
              <w:right w:w="150" w:type="dxa"/>
            </w:tcMar>
          </w:tcPr>
          <w:p>
            <w:r>
              <w:rPr>
                <w:color w:val="333333"/>
              </w:rPr>
              <w:t>ap-south-1 (Mumbai Region)</w:t>
            </w:r>
          </w:p>
        </w:tc>
      </w:tr>
      <w:tr>
        <w:tc>
          <w:tcPr>
            <w:tcW w:type="dxa" w:w="4680"/>
            <w:shd w:fill="F2F3F3"/>
            <w:tcMar>
              <w:top w:w="100" w:type="dxa"/>
              <w:left w:w="150" w:type="dxa"/>
              <w:bottom w:w="100" w:type="dxa"/>
              <w:right w:w="150" w:type="dxa"/>
            </w:tcMar>
          </w:tcPr>
          <w:p>
            <w:r>
              <w:rPr>
                <w:b/>
                <w:color w:val="232F3E"/>
              </w:rPr>
              <w:t>Target Cloud Environment</w:t>
            </w:r>
          </w:p>
        </w:tc>
        <w:tc>
          <w:tcPr>
            <w:tcW w:type="dxa" w:w="4680"/>
            <w:shd w:fill="FFFFFF"/>
            <w:tcMar>
              <w:top w:w="100" w:type="dxa"/>
              <w:left w:w="150" w:type="dxa"/>
              <w:bottom w:w="100" w:type="dxa"/>
              <w:right w:w="150" w:type="dxa"/>
            </w:tcMar>
          </w:tcPr>
          <w:p>
            <w:r>
              <w:rPr>
                <w:color w:val="333333"/>
              </w:rPr>
              <w:t>AWS Cloud Production Infrastructure</w:t>
            </w:r>
          </w:p>
        </w:tc>
      </w:tr>
      <w:tr>
        <w:tc>
          <w:tcPr>
            <w:tcW w:type="dxa" w:w="4680"/>
            <w:shd w:fill="F2F3F3"/>
            <w:tcMar>
              <w:top w:w="100" w:type="dxa"/>
              <w:left w:w="150" w:type="dxa"/>
              <w:bottom w:w="100" w:type="dxa"/>
              <w:right w:w="150" w:type="dxa"/>
            </w:tcMar>
          </w:tcPr>
          <w:p>
            <w:r>
              <w:rPr>
                <w:b/>
                <w:color w:val="232F3E"/>
              </w:rPr>
              <w:t>DevOps / CI/CD Model</w:t>
            </w:r>
          </w:p>
        </w:tc>
        <w:tc>
          <w:tcPr>
            <w:tcW w:type="dxa" w:w="4680"/>
            <w:shd w:fill="FFFFFF"/>
            <w:tcMar>
              <w:top w:w="100" w:type="dxa"/>
              <w:left w:w="150" w:type="dxa"/>
              <w:bottom w:w="100" w:type="dxa"/>
              <w:right w:w="150" w:type="dxa"/>
            </w:tcMar>
          </w:tcPr>
          <w:p>
            <w:r>
              <w:rPr>
                <w:color w:val="333333"/>
              </w:rPr>
              <w:t>AWS EC2-based Build Host (Bastion/CI Runner)</w:t>
            </w:r>
          </w:p>
        </w:tc>
      </w:tr>
      <w:tr>
        <w:tc>
          <w:tcPr>
            <w:tcW w:type="dxa" w:w="4680"/>
            <w:shd w:fill="F2F3F3"/>
            <w:tcMar>
              <w:top w:w="100" w:type="dxa"/>
              <w:left w:w="150" w:type="dxa"/>
              <w:bottom w:w="100" w:type="dxa"/>
              <w:right w:w="150" w:type="dxa"/>
            </w:tcMar>
          </w:tcPr>
          <w:p>
            <w:r>
              <w:rPr>
                <w:b/>
                <w:color w:val="232F3E"/>
              </w:rPr>
              <w:t>Application Hosting Compute</w:t>
            </w:r>
          </w:p>
        </w:tc>
        <w:tc>
          <w:tcPr>
            <w:tcW w:type="dxa" w:w="4680"/>
            <w:shd w:fill="FFFFFF"/>
            <w:tcMar>
              <w:top w:w="100" w:type="dxa"/>
              <w:left w:w="150" w:type="dxa"/>
              <w:bottom w:w="100" w:type="dxa"/>
              <w:right w:w="150" w:type="dxa"/>
            </w:tcMar>
          </w:tcPr>
          <w:p>
            <w:r>
              <w:rPr>
                <w:color w:val="333333"/>
              </w:rPr>
              <w:t>AWS ECS Fargate (Serverless Microservices Compute)</w:t>
            </w:r>
          </w:p>
        </w:tc>
      </w:tr>
    </w:tbl>
    <w:p>
      <w:pPr>
        <w:spacing w:after="240"/>
      </w:pPr>
    </w:p>
    <w:p>
      <w:pPr>
        <w:pStyle w:val="Heading1"/>
        <w:keepNext/>
        <w:spacing w:before="360" w:after="120"/>
      </w:pPr>
      <w:r>
        <w:rPr>
          <w:rFonts w:ascii="Calibri" w:hAnsi="Calibri"/>
          <w:b/>
          <w:color w:val="232F3E"/>
          <w:sz w:val="36"/>
        </w:rPr>
        <w:t>1. Executive Summary (☁️ Cloud Migration &amp; Strategic Vision)</w:t>
      </w:r>
    </w:p>
    <w:p>
      <w:r>
        <w:t>This project report details the transition and deployment of the SipSugy online fresh sugarcane juice ordering system into AWS. Historically, development, testing, and manual updates were conducted from a local developer environment (a local Windows laptop). This model presented numerous bottlenecks, including dependency mismatches, developer machine downtime, lack of centralization, and manual security credential exposure on personal devices.</w:t>
      </w:r>
    </w:p>
    <w:p>
      <w:r>
        <w:t>To establish a robust, enterprise-ready workflow, the infrastructure has been migrated to a fully automated cloud model. A dedicated AWS EC2 instance now serves as the DevOps control center and build runner. This instance hosts the Jenkins CI/CD pipeline, allowing the build processes to run independently of the local workspace. From this host, Docker images are built and pushed to Amazon Elastic Container Registry (ECR), database schemas are initialized on Amazon Relational Database Service (RDS), and services are deployed to Amazon Elastic Container Service (ECS) Fargate.</w:t>
      </w:r>
    </w:p>
    <w:tbl>
      <w:tblPr>
        <w:tblW w:type="auto" w:w="0"/>
        <w:jc w:val="center"/>
        <w:tblLook w:firstColumn="1" w:firstRow="1" w:lastColumn="0" w:lastRow="0" w:noHBand="0" w:noVBand="1" w:val="04A0"/>
      </w:tblPr>
      <w:tblGrid>
        <w:gridCol w:w="9360"/>
      </w:tblGrid>
      <w:tr>
        <w:tc>
          <w:tcPr>
            <w:tcW w:type="dxa" w:w="9360"/>
            <w:shd w:fill="FFF8F2"/>
            <w:tcBorders>
              <w:top w:val="none"/>
              <w:left w:val="single" w:sz="36" w:space="0" w:color="E87D00"/>
              <w:bottom w:val="none"/>
              <w:right w:val="none"/>
            </w:tcBorders>
            <w:tcMar>
              <w:top w:w="140" w:type="dxa"/>
              <w:left w:w="180" w:type="dxa"/>
              <w:bottom w:w="140" w:type="dxa"/>
              <w:right w:w="180" w:type="dxa"/>
            </w:tcMar>
          </w:tcPr>
          <w:p>
            <w:pPr>
              <w:spacing w:after="0"/>
            </w:pPr>
            <w:r>
              <w:rPr>
                <w:b/>
                <w:color w:val="E87D00"/>
              </w:rPr>
              <w:t xml:space="preserve">💡 Strategic Insight: </w:t>
            </w:r>
            <w:r>
              <w:rPr>
                <w:i/>
              </w:rPr>
              <w:t>By moving the orchestration server to an EC2 build host in the AWS cloud, the organization gains centralized operations, improved security via IAM Role bindings, and robust network access directly to private AWS endpoints, eliminating the security and network limitations of local developer laptops.</w:t>
            </w:r>
          </w:p>
        </w:tc>
      </w:tr>
    </w:tbl>
    <w:p>
      <w:pPr>
        <w:spacing w:after="240"/>
      </w:pPr>
    </w:p>
    <w:p>
      <w:pPr>
        <w:pStyle w:val="Heading1"/>
        <w:keepNext/>
        <w:spacing w:before="360" w:after="120"/>
      </w:pPr>
      <w:r>
        <w:rPr>
          <w:rFonts w:ascii="Calibri" w:hAnsi="Calibri"/>
          <w:b/>
          <w:color w:val="232F3E"/>
          <w:sz w:val="36"/>
        </w:rPr>
        <w:t>2. Core 3-Tier Cloud Architecture (🌐 High Availability Infrastructure)</w:t>
      </w:r>
    </w:p>
    <w:p>
      <w:r>
        <w:t>The SipSugy platform is split into three distinct, decoupled tiers to ensure scalability, fault isolation, and simplified maintenance. Each tier utilizes serverless or managed services where applicable.</w:t>
      </w:r>
    </w:p>
    <w:p>
      <w:pPr>
        <w:pStyle w:val="Heading2"/>
        <w:keepNext/>
        <w:spacing w:before="360" w:after="120"/>
      </w:pPr>
      <w:r>
        <w:rPr>
          <w:rFonts w:ascii="Calibri" w:hAnsi="Calibri"/>
          <w:b/>
          <w:color w:val="E87D00"/>
          <w:sz w:val="28"/>
        </w:rPr>
        <w:t>2.1 Frontend Presentation Tier (🖥️ Web Gateway)</w:t>
      </w:r>
    </w:p>
    <w:p>
      <w:r>
        <w:t>The frontend user interface is built using React (compiled via Vite) and served through Nginx. It runs as an ECS Fargate task within a public-facing configuration. Nginx acts as both a web server for static assets and a reverse proxy, forwarding API requests to the private backend API. This tier is protected and exposed via a public Application Load Balancer.</w:t>
      </w:r>
    </w:p>
    <w:p>
      <w:pPr>
        <w:pStyle w:val="Heading2"/>
        <w:keepNext/>
        <w:spacing w:before="360" w:after="120"/>
      </w:pPr>
      <w:r>
        <w:rPr>
          <w:rFonts w:ascii="Calibri" w:hAnsi="Calibri"/>
          <w:b/>
          <w:color w:val="E87D00"/>
          <w:sz w:val="28"/>
        </w:rPr>
        <w:t>2.2 Backend Application Tier (⚙️ Business Logic)</w:t>
      </w:r>
    </w:p>
    <w:p>
      <w:r>
        <w:t>The backend service is powered by Node.js and Express. It handles the core business logic, such as menu loading, order validation, secure database interactions, and health checks. Importantly, this tier resides in a private, non-routable subnet. It communicates with the frontend via AWS ECS Service Connect, bypassing the public internet entirely and securing internal data transfers.</w:t>
      </w:r>
    </w:p>
    <w:p>
      <w:pPr>
        <w:pStyle w:val="Heading2"/>
        <w:keepNext/>
        <w:spacing w:before="360" w:after="120"/>
      </w:pPr>
      <w:r>
        <w:rPr>
          <w:rFonts w:ascii="Calibri" w:hAnsi="Calibri"/>
          <w:b/>
          <w:color w:val="E87D00"/>
          <w:sz w:val="28"/>
        </w:rPr>
        <w:t>2.3 Database Tier (🗄️ Relational Data Storage)</w:t>
      </w:r>
    </w:p>
    <w:p>
      <w:r>
        <w:t>Persistent application data is stored in Amazon RDS for MySQL. The database runs on a dedicated db.t3.micro instance, residing inside a private database subnet group spanning multiple availability zones. Public access is disabled. The database is configured with automated daily backups and security policies that only allow connections originating from the backend ECS tasks' security group.</w:t>
      </w:r>
    </w:p>
    <w:p>
      <w:pPr>
        <w:spacing w:after="240"/>
      </w:pPr>
    </w:p>
    <w:p>
      <w:pPr>
        <w:pStyle w:val="Heading1"/>
        <w:keepNext/>
        <w:spacing w:before="360" w:after="120"/>
      </w:pPr>
      <w:r>
        <w:rPr>
          <w:rFonts w:ascii="Calibri" w:hAnsi="Calibri"/>
          <w:b/>
          <w:color w:val="232F3E"/>
          <w:sz w:val="36"/>
        </w:rPr>
        <w:t>3. Network Topology and Traffic Routing (🚦 Traffic Management)</w:t>
      </w:r>
    </w:p>
    <w:p>
      <w:r>
        <w:t>The application is housed in a Virtual Private Cloud (VPC) that isolates different components using subnetting and security groups to construct a secure perimeter.</w:t>
      </w:r>
    </w:p>
    <w:p>
      <w:pPr>
        <w:pStyle w:val="Heading2"/>
        <w:keepNext/>
        <w:spacing w:before="360" w:after="120"/>
      </w:pPr>
      <w:r>
        <w:rPr>
          <w:rFonts w:ascii="Calibri" w:hAnsi="Calibri"/>
          <w:b/>
          <w:color w:val="E87D00"/>
          <w:sz w:val="28"/>
        </w:rPr>
        <w:t>3.1 Application Load Balancer (ALB)</w:t>
      </w:r>
    </w:p>
    <w:p>
      <w:r>
        <w:t>Public traffic entering the cloud is received by the sipsugy-alb Application Load Balancer. The ALB is configured with a public listener on HTTP port 80. Incoming requests are forwarded to a target group linked with the frontend ECS Fargate tasks. The ALB performs continuous health checks (pinging the root path) to ensure that traffic is only routed to healthy containers.</w:t>
      </w:r>
    </w:p>
    <w:p>
      <w:pPr>
        <w:pStyle w:val="Heading2"/>
        <w:keepNext/>
        <w:spacing w:before="360" w:after="120"/>
      </w:pPr>
      <w:r>
        <w:rPr>
          <w:rFonts w:ascii="Calibri" w:hAnsi="Calibri"/>
          <w:b/>
          <w:color w:val="E87D00"/>
          <w:sz w:val="28"/>
        </w:rPr>
        <w:t>3.2 Service Discovery and Service Connect</w:t>
      </w:r>
    </w:p>
    <w:p>
      <w:r>
        <w:t>Internal microservice communication is managed by AWS Cloud Map and ECS Service Connect under the private namespace sipsugy.local. The frontend Nginx proxy targets the backend service simply as backend:4000. Service Connect resolves this local DNS alias directly to the running backend container, automatically balancing load across active tasks and preventing unnecessary exposure to the public internet.</w:t>
      </w:r>
    </w:p>
    <w:p>
      <w:pPr>
        <w:spacing w:after="240"/>
      </w:pPr>
    </w:p>
    <w:p>
      <w:pPr>
        <w:pStyle w:val="Heading1"/>
        <w:keepNext/>
        <w:spacing w:before="360" w:after="120"/>
      </w:pPr>
      <w:r>
        <w:rPr>
          <w:rFonts w:ascii="Calibri" w:hAnsi="Calibri"/>
          <w:b/>
          <w:color w:val="232F3E"/>
          <w:sz w:val="36"/>
        </w:rPr>
        <w:t>4. DevOps Automation &amp; CI/CD Pipeline (🔄 Continuous Integration &amp; Deployment)</w:t>
      </w:r>
    </w:p>
    <w:p>
      <w:r>
        <w:t>The CI/CD pipeline has been migrated from a local desktop machine to an AWS EC2 instance running Ubuntu Server. This EC2 host serves as a centralized DevOps command console and Jenkins build agent.</w:t>
      </w:r>
    </w:p>
    <w:p>
      <w:pPr>
        <w:pStyle w:val="Heading2"/>
        <w:keepNext/>
        <w:spacing w:before="360" w:after="120"/>
      </w:pPr>
      <w:r>
        <w:rPr>
          <w:rFonts w:ascii="Calibri" w:hAnsi="Calibri"/>
          <w:b/>
          <w:color w:val="E87D00"/>
          <w:sz w:val="28"/>
        </w:rPr>
        <w:t>4.1 Dedicated Jenkins Build Server on EC2</w:t>
      </w:r>
    </w:p>
    <w:p>
      <w:r>
        <w:t>The t3.medium EC2 server runs Docker Engine, hosting Jenkins in a custom-built container. The host's Docker socket is bind-mounted into the Jenkins container. This configuration (Docker-outside-of-Docker) allows Jenkins to build Node.js and Nginx Docker images, execute unit tests, and perform AWS deployments without polluting the host operating system.</w:t>
      </w:r>
    </w:p>
    <w:p>
      <w:pPr>
        <w:pStyle w:val="Heading2"/>
        <w:keepNext/>
        <w:spacing w:before="360" w:after="120"/>
      </w:pPr>
      <w:r>
        <w:rPr>
          <w:rFonts w:ascii="Calibri" w:hAnsi="Calibri"/>
          <w:b/>
          <w:color w:val="E87D00"/>
          <w:sz w:val="28"/>
        </w:rPr>
        <w:t>4.2 Codebase Integration and Push Workflows</w:t>
      </w:r>
    </w:p>
    <w:p>
      <w:r>
        <w:t>When developers push code changes to GitHub, a webhook triggers the Jenkins pipeline. The pipeline performs the following automated stages:</w:t>
      </w:r>
    </w:p>
    <w:p>
      <w:pPr>
        <w:pStyle w:val="ListBullet"/>
        <w:spacing w:after="60"/>
      </w:pPr>
      <w:r>
        <w:rPr>
          <w:b/>
          <w:color w:val="232F3E"/>
        </w:rPr>
        <w:t xml:space="preserve">Source Code Checkout: </w:t>
      </w:r>
      <w:r>
        <w:rPr>
          <w:color w:val="333333"/>
        </w:rPr>
        <w:t>Retrieves the latest codebase modifications from the Git repository.</w:t>
      </w:r>
    </w:p>
    <w:p>
      <w:pPr>
        <w:pStyle w:val="ListBullet"/>
        <w:spacing w:after="60"/>
      </w:pPr>
      <w:r>
        <w:rPr>
          <w:b/>
          <w:color w:val="232F3E"/>
        </w:rPr>
        <w:t xml:space="preserve">Automated Verification: </w:t>
      </w:r>
      <w:r>
        <w:rPr>
          <w:color w:val="333333"/>
        </w:rPr>
        <w:t>Spins up Node.js test containers to run frontend and backend unit tests and syntax checks.</w:t>
      </w:r>
    </w:p>
    <w:p>
      <w:pPr>
        <w:pStyle w:val="ListBullet"/>
        <w:spacing w:after="60"/>
      </w:pPr>
      <w:r>
        <w:rPr>
          <w:b/>
          <w:color w:val="232F3E"/>
        </w:rPr>
        <w:t xml:space="preserve">Container Build: </w:t>
      </w:r>
      <w:r>
        <w:rPr>
          <w:color w:val="333333"/>
        </w:rPr>
        <w:t>Builds the updated Docker images for the frontend and backend microservices using optimized Dockerfiles.</w:t>
      </w:r>
    </w:p>
    <w:p>
      <w:pPr>
        <w:pStyle w:val="ListBullet"/>
        <w:spacing w:after="60"/>
      </w:pPr>
      <w:r>
        <w:rPr>
          <w:b/>
          <w:color w:val="232F3E"/>
        </w:rPr>
        <w:t xml:space="preserve">ECR Publishing: </w:t>
      </w:r>
      <w:r>
        <w:rPr>
          <w:color w:val="333333"/>
        </w:rPr>
        <w:t>Authenticates against Amazon Elastic Container Registry (ECR) and pushes the tagged images to the repositories.</w:t>
      </w:r>
    </w:p>
    <w:p>
      <w:pPr>
        <w:pStyle w:val="ListBullet"/>
        <w:spacing w:after="60"/>
      </w:pPr>
      <w:r>
        <w:rPr>
          <w:b/>
          <w:color w:val="232F3E"/>
        </w:rPr>
        <w:t xml:space="preserve">ECS Deployment: </w:t>
      </w:r>
      <w:r>
        <w:rPr>
          <w:color w:val="333333"/>
        </w:rPr>
        <w:t>Registers new revisions of the ECS Task Definitions and issues a forced service update, triggering Fargate to pull the new images and perform a rolling, zero-downtime deployment.</w:t>
      </w:r>
    </w:p>
    <w:p>
      <w:pPr>
        <w:spacing w:after="240"/>
      </w:pPr>
    </w:p>
    <w:p>
      <w:pPr>
        <w:pStyle w:val="Heading1"/>
        <w:keepNext/>
        <w:spacing w:before="360" w:after="120"/>
      </w:pPr>
      <w:r>
        <w:rPr>
          <w:rFonts w:ascii="Calibri" w:hAnsi="Calibri"/>
          <w:b/>
          <w:color w:val="232F3E"/>
          <w:sz w:val="36"/>
        </w:rPr>
        <w:t>5. Security Posture &amp; Secrets Management (🛡️ Security Hardening)</w:t>
      </w:r>
    </w:p>
    <w:p>
      <w:r>
        <w:t>Security is implemented at multiple layers, adhering to the principle of least privilege and isolating data tiers from administrative access.</w:t>
      </w:r>
    </w:p>
    <w:p>
      <w:pPr>
        <w:pStyle w:val="Heading2"/>
        <w:keepNext/>
        <w:spacing w:before="360" w:after="120"/>
      </w:pPr>
      <w:r>
        <w:rPr>
          <w:rFonts w:ascii="Calibri" w:hAnsi="Calibri"/>
          <w:b/>
          <w:color w:val="E87D00"/>
          <w:sz w:val="28"/>
        </w:rPr>
        <w:t>5.1 IAM Role Separation</w:t>
      </w:r>
    </w:p>
    <w:p>
      <w:r>
        <w:t>Rather than using full administrator credentials, access is restricted using AWS Identity and Access Management (IAM):</w:t>
      </w:r>
    </w:p>
    <w:p>
      <w:pPr>
        <w:pStyle w:val="ListBullet"/>
        <w:spacing w:after="60"/>
      </w:pPr>
      <w:r>
        <w:rPr>
          <w:b/>
        </w:rPr>
        <w:t xml:space="preserve">Task Execution Role: </w:t>
      </w:r>
      <w:r>
        <w:t>Used by ECS Fargate tasks to fetch ECR images, create CloudWatch logs, and retrieve database passwords from Secrets Manager.</w:t>
      </w:r>
    </w:p>
    <w:p>
      <w:pPr>
        <w:pStyle w:val="ListBullet"/>
        <w:spacing w:after="60"/>
      </w:pPr>
      <w:r>
        <w:rPr>
          <w:b/>
        </w:rPr>
        <w:t xml:space="preserve">Jenkins Deployer User: </w:t>
      </w:r>
      <w:r>
        <w:t>A dedicated programmatic user restricted only to registering task definitions, describing services, and forcing redeployments.</w:t>
      </w:r>
    </w:p>
    <w:p>
      <w:pPr>
        <w:pStyle w:val="Heading2"/>
        <w:keepNext/>
        <w:spacing w:before="360" w:after="120"/>
      </w:pPr>
      <w:r>
        <w:rPr>
          <w:rFonts w:ascii="Calibri" w:hAnsi="Calibri"/>
          <w:b/>
          <w:color w:val="E87D00"/>
          <w:sz w:val="28"/>
        </w:rPr>
        <w:t>5.2 Network Access Isolation via Security Groups</w:t>
      </w:r>
    </w:p>
    <w:p>
      <w:r>
        <w:t>Traffic is restricted by separate security groups:</w:t>
      </w:r>
    </w:p>
    <w:p>
      <w:pPr>
        <w:pStyle w:val="ListBullet"/>
        <w:spacing w:after="60"/>
      </w:pPr>
      <w:r>
        <w:t>The ALB Security Group allows HTTP inbound from the public internet (0.0.0.0/0) and routes outbound only to the ECS tasks.</w:t>
      </w:r>
    </w:p>
    <w:p>
      <w:pPr>
        <w:pStyle w:val="ListBullet"/>
        <w:spacing w:after="60"/>
      </w:pPr>
      <w:r>
        <w:t>The ECS Security Group accepts inbound traffic on port 80 exclusively from the ALB, and port 4000 internally from other ECS tasks.</w:t>
      </w:r>
    </w:p>
    <w:p>
      <w:pPr>
        <w:pStyle w:val="ListBullet"/>
        <w:spacing w:after="60"/>
      </w:pPr>
      <w:r>
        <w:t>The RDS Security Group permits database traffic on port 3306 only from the ECS tasks' security group. It completely blocks any other incoming networks.</w:t>
      </w:r>
    </w:p>
    <w:p>
      <w:pPr>
        <w:pStyle w:val="Heading2"/>
        <w:keepNext/>
        <w:spacing w:before="360" w:after="120"/>
      </w:pPr>
      <w:r>
        <w:rPr>
          <w:rFonts w:ascii="Calibri" w:hAnsi="Calibri"/>
          <w:b/>
          <w:color w:val="E87D00"/>
          <w:sz w:val="28"/>
        </w:rPr>
        <w:t>5.3 AWS Secrets Manager Integration</w:t>
      </w:r>
    </w:p>
    <w:p>
      <w:r>
        <w:t>Database credentials are never stored in plaintext in the codebase, environment files, or Jenkins configuration. The Amazon RDS master password is automatically generated and rotated by AWS Secrets Manager. At startup, the ECS Fargate agent retrieves the credentials directly from Secrets Manager using the Task Execution Role and injects them securely as environment variables into the backend container's memory.</w:t>
      </w:r>
    </w:p>
    <w:p>
      <w:pPr>
        <w:spacing w:after="240"/>
      </w:pPr>
    </w:p>
    <w:p>
      <w:pPr>
        <w:pStyle w:val="Heading1"/>
        <w:keepNext/>
        <w:spacing w:before="360" w:after="120"/>
      </w:pPr>
      <w:r>
        <w:rPr>
          <w:rFonts w:ascii="Calibri" w:hAnsi="Calibri"/>
          <w:b/>
          <w:color w:val="232F3E"/>
          <w:sz w:val="36"/>
        </w:rPr>
        <w:t>6. Resource Operations &amp; Autoscaling (📈 Monitoring and Scaling)</w:t>
      </w:r>
    </w:p>
    <w:p>
      <w:r>
        <w:t>To ensure cost efficiency during low traffic periods and responsiveness during peak ordering times, the application is managed with automated operational controls.</w:t>
      </w:r>
    </w:p>
    <w:p>
      <w:pPr>
        <w:pStyle w:val="Heading2"/>
        <w:keepNext/>
        <w:spacing w:before="360" w:after="120"/>
      </w:pPr>
      <w:r>
        <w:rPr>
          <w:rFonts w:ascii="Calibri" w:hAnsi="Calibri"/>
          <w:b/>
          <w:color w:val="E87D00"/>
          <w:sz w:val="28"/>
        </w:rPr>
        <w:t>6.1 Target Tracking Application Scaling</w:t>
      </w:r>
    </w:p>
    <w:p>
      <w:r>
        <w:t>AWS Application Auto Scaling manages the task counts for both the frontend and backend services. Both services have a configured capacity range of 1 task (minimum) to 5 tasks (maximum). Target tracking policies monitor resource utilization. If either average CPU or Memory utilization exceeds 70% over a measured period, the autoscaler provisions additional container tasks. Once traffic subsides, tasks are safely terminated, reducing operational cost.</w:t>
      </w:r>
    </w:p>
    <w:p>
      <w:pPr>
        <w:pStyle w:val="Heading2"/>
        <w:keepNext/>
        <w:spacing w:before="360" w:after="120"/>
      </w:pPr>
      <w:r>
        <w:rPr>
          <w:rFonts w:ascii="Calibri" w:hAnsi="Calibri"/>
          <w:b/>
          <w:color w:val="E87D00"/>
          <w:sz w:val="28"/>
        </w:rPr>
        <w:t>6.2 Centralized Logging and Monitoring</w:t>
      </w:r>
    </w:p>
    <w:p>
      <w:r>
        <w:t>All application stdout and stderr streams are forwarded to AWS CloudWatch Logs. This ensures that container troubleshooting, order tracking, and health metrics are queryable in one central repository without needing to connect directly to the running compute instances.</w:t>
      </w:r>
    </w:p>
    <w:p>
      <w:pPr>
        <w:pStyle w:val="Heading1"/>
        <w:keepNext/>
        <w:spacing w:before="360" w:after="120"/>
      </w:pPr>
      <w:r>
        <w:rPr>
          <w:rFonts w:ascii="Calibri" w:hAnsi="Calibri"/>
          <w:b/>
          <w:color w:val="232F3E"/>
          <w:sz w:val="36"/>
        </w:rPr>
        <w:t>7. Operational Benefits Summary</w:t>
      </w:r>
    </w:p>
    <w:tbl>
      <w:tblPr>
        <w:tblW w:type="auto" w:w="0"/>
        <w:jc w:val="center"/>
        <w:tblLook w:firstColumn="1" w:firstRow="1" w:lastColumn="0" w:lastRow="0" w:noHBand="0" w:noVBand="1" w:val="04A0"/>
      </w:tblPr>
      <w:tblGrid>
        <w:gridCol w:w="3120"/>
        <w:gridCol w:w="3120"/>
        <w:gridCol w:w="3120"/>
      </w:tblGrid>
      <w:tr>
        <w:tc>
          <w:tcPr>
            <w:tcW w:type="dxa" w:w="3120"/>
            <w:shd w:fill="232F3E"/>
            <w:tcMar>
              <w:top w:w="120" w:type="dxa"/>
              <w:left w:w="150" w:type="dxa"/>
              <w:bottom w:w="120" w:type="dxa"/>
              <w:right w:w="150" w:type="dxa"/>
            </w:tcMar>
          </w:tcPr>
          <w:p>
            <w:r>
              <w:rPr>
                <w:b/>
                <w:color w:val="FFFFFF"/>
              </w:rPr>
              <w:t>Feature</w:t>
            </w:r>
          </w:p>
        </w:tc>
        <w:tc>
          <w:tcPr>
            <w:tcW w:type="dxa" w:w="3120"/>
            <w:shd w:fill="232F3E"/>
            <w:tcMar>
              <w:top w:w="120" w:type="dxa"/>
              <w:left w:w="150" w:type="dxa"/>
              <w:bottom w:w="120" w:type="dxa"/>
              <w:right w:w="150" w:type="dxa"/>
            </w:tcMar>
          </w:tcPr>
          <w:p>
            <w:r>
              <w:rPr>
                <w:b/>
                <w:color w:val="FFFFFF"/>
              </w:rPr>
              <w:t>Previous Local Model</w:t>
            </w:r>
          </w:p>
        </w:tc>
        <w:tc>
          <w:tcPr>
            <w:tcW w:type="dxa" w:w="3120"/>
            <w:shd w:fill="232F3E"/>
            <w:tcMar>
              <w:top w:w="120" w:type="dxa"/>
              <w:left w:w="150" w:type="dxa"/>
              <w:bottom w:w="120" w:type="dxa"/>
              <w:right w:w="150" w:type="dxa"/>
            </w:tcMar>
          </w:tcPr>
          <w:p>
            <w:r>
              <w:rPr>
                <w:b/>
                <w:color w:val="FFFFFF"/>
              </w:rPr>
              <w:t>New AWS Cloud Model</w:t>
            </w:r>
          </w:p>
        </w:tc>
      </w:tr>
      <w:tr>
        <w:tc>
          <w:tcPr>
            <w:tcW w:type="dxa" w:w="3120"/>
            <w:shd w:fill="F2F3F3"/>
            <w:tcMar>
              <w:top w:w="100" w:type="dxa"/>
              <w:left w:w="150" w:type="dxa"/>
              <w:bottom w:w="100" w:type="dxa"/>
              <w:right w:w="150" w:type="dxa"/>
            </w:tcMar>
          </w:tcPr>
          <w:p>
            <w:r>
              <w:t>CI/CD Execution</w:t>
            </w:r>
          </w:p>
        </w:tc>
        <w:tc>
          <w:tcPr>
            <w:tcW w:type="dxa" w:w="3120"/>
            <w:shd w:fill="F2F3F3"/>
            <w:tcMar>
              <w:top w:w="100" w:type="dxa"/>
              <w:left w:w="150" w:type="dxa"/>
              <w:bottom w:w="100" w:type="dxa"/>
              <w:right w:w="150" w:type="dxa"/>
            </w:tcMar>
          </w:tcPr>
          <w:p>
            <w:r>
              <w:t>Run manually from developer laptop, depends on machine state.</w:t>
            </w:r>
          </w:p>
        </w:tc>
        <w:tc>
          <w:tcPr>
            <w:tcW w:type="dxa" w:w="3120"/>
            <w:shd w:fill="F2F3F3"/>
            <w:tcMar>
              <w:top w:w="100" w:type="dxa"/>
              <w:left w:w="150" w:type="dxa"/>
              <w:bottom w:w="100" w:type="dxa"/>
              <w:right w:w="150" w:type="dxa"/>
            </w:tcMar>
          </w:tcPr>
          <w:p>
            <w:r>
              <w:t>Dedicated EC2 Jenkins Build Server, runs automatically on Git pushes.</w:t>
            </w:r>
          </w:p>
        </w:tc>
      </w:tr>
      <w:tr>
        <w:tc>
          <w:tcPr>
            <w:tcW w:type="dxa" w:w="3120"/>
            <w:shd w:fill="FFFFFF"/>
            <w:tcMar>
              <w:top w:w="100" w:type="dxa"/>
              <w:left w:w="150" w:type="dxa"/>
              <w:bottom w:w="100" w:type="dxa"/>
              <w:right w:w="150" w:type="dxa"/>
            </w:tcMar>
          </w:tcPr>
          <w:p>
            <w:r>
              <w:t>Credentials Security</w:t>
            </w:r>
          </w:p>
        </w:tc>
        <w:tc>
          <w:tcPr>
            <w:tcW w:type="dxa" w:w="3120"/>
            <w:shd w:fill="FFFFFF"/>
            <w:tcMar>
              <w:top w:w="100" w:type="dxa"/>
              <w:left w:w="150" w:type="dxa"/>
              <w:bottom w:w="100" w:type="dxa"/>
              <w:right w:w="150" w:type="dxa"/>
            </w:tcMar>
          </w:tcPr>
          <w:p>
            <w:r>
              <w:t>AWS keys stored on developer laptop, risk of leakage.</w:t>
            </w:r>
          </w:p>
        </w:tc>
        <w:tc>
          <w:tcPr>
            <w:tcW w:type="dxa" w:w="3120"/>
            <w:shd w:fill="FFFFFF"/>
            <w:tcMar>
              <w:top w:w="100" w:type="dxa"/>
              <w:left w:w="150" w:type="dxa"/>
              <w:bottom w:w="100" w:type="dxa"/>
              <w:right w:w="150" w:type="dxa"/>
            </w:tcMar>
          </w:tcPr>
          <w:p>
            <w:r>
              <w:t>IAM roles dynamically retrieve database secrets from AWS Secrets Manager.</w:t>
            </w:r>
          </w:p>
        </w:tc>
      </w:tr>
      <w:tr>
        <w:tc>
          <w:tcPr>
            <w:tcW w:type="dxa" w:w="3120"/>
            <w:shd w:fill="F2F3F3"/>
            <w:tcMar>
              <w:top w:w="100" w:type="dxa"/>
              <w:left w:w="150" w:type="dxa"/>
              <w:bottom w:w="100" w:type="dxa"/>
              <w:right w:w="150" w:type="dxa"/>
            </w:tcMar>
          </w:tcPr>
          <w:p>
            <w:r>
              <w:t>Application Compute</w:t>
            </w:r>
          </w:p>
        </w:tc>
        <w:tc>
          <w:tcPr>
            <w:tcW w:type="dxa" w:w="3120"/>
            <w:shd w:fill="F2F3F3"/>
            <w:tcMar>
              <w:top w:w="100" w:type="dxa"/>
              <w:left w:w="150" w:type="dxa"/>
              <w:bottom w:w="100" w:type="dxa"/>
              <w:right w:w="150" w:type="dxa"/>
            </w:tcMar>
          </w:tcPr>
          <w:p>
            <w:r>
              <w:t>Local node server / docker desktop, not accessible to public.</w:t>
            </w:r>
          </w:p>
        </w:tc>
        <w:tc>
          <w:tcPr>
            <w:tcW w:type="dxa" w:w="3120"/>
            <w:shd w:fill="F2F3F3"/>
            <w:tcMar>
              <w:top w:w="100" w:type="dxa"/>
              <w:left w:w="150" w:type="dxa"/>
              <w:bottom w:w="100" w:type="dxa"/>
              <w:right w:w="150" w:type="dxa"/>
            </w:tcMar>
          </w:tcPr>
          <w:p>
            <w:r>
              <w:t>ECS Fargate tasks behind Application Load Balancer with autoscaling.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