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Pricing-Model Worksheet (Template)</w:t>
      </w:r>
    </w:p>
    <w:p>
      <w:pPr>
        <w:spacing w:after="160"/>
      </w:pPr>
      <w:r>
        <w:rPr>
          <w:i/>
          <w:color w:val="555555"/>
          <w:sz w:val="21"/>
        </w:rPr>
        <w:t>Work top to bottom: cost first, then the price. The price has to clear the cost.</w:t>
      </w:r>
    </w:p>
    <w:p>
      <w:pPr>
        <w:spacing w:before="180" w:after="60"/>
      </w:pPr>
      <w:r>
        <w:rPr>
          <w:b/>
          <w:sz w:val="26"/>
        </w:rPr>
        <w:t>1. Estimate — your cost basis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T-shirt size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Day range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Risk ×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Days (low / exp / high)</w:t>
            </w:r>
          </w:p>
        </w:tc>
      </w:tr>
      <w:tr>
        <w:tc>
          <w:tcPr>
            <w:tcW w:type="dxa" w:w="1987"/>
          </w:tcPr>
          <w:p>
            <w:r>
              <w:rPr>
                <w:color w:val="555555"/>
                <w:sz w:val="19"/>
              </w:rPr>
              <w:t>[Triage agent]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[M]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[8–12]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[1.2]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 … ]</w:t>
            </w:r>
          </w:p>
        </w:tc>
      </w:tr>
      <w:tr>
        <w:tc>
          <w:tcPr>
            <w:tcW w:type="dxa" w:w="1987"/>
          </w:tcPr>
          <w:p>
            <w:r>
              <w:rPr>
                <w:color w:val="555555"/>
                <w:sz w:val="19"/>
              </w:rPr>
              <w:t>[MCP + RBAC layer]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[L]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[15–25]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[1.5]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 … ]</w:t>
            </w:r>
          </w:p>
        </w:tc>
      </w:tr>
      <w:tr>
        <w:tc>
          <w:tcPr>
            <w:tcW w:type="dxa" w:w="1987"/>
          </w:tcPr>
          <w:p>
            <w:r>
              <w:rPr>
                <w:color w:val="555555"/>
                <w:sz w:val="19"/>
              </w:rPr>
              <w:t>[Eval suite + CI gate]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[XL]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[30–50]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[1.3]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 … ]</w:t>
            </w:r>
          </w:p>
        </w:tc>
      </w:tr>
      <w:tr>
        <w:tc>
          <w:tcPr>
            <w:tcW w:type="dxa" w:w="1987"/>
          </w:tcPr>
          <w:p>
            <w:r>
              <w:rPr>
                <w:color w:val="555555"/>
                <w:sz w:val="19"/>
              </w:rPr>
              <w:t>[ … 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 … 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 … 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 … ]</w:t>
            </w:r>
          </w:p>
        </w:tc>
        <w:tc>
          <w:tcPr>
            <w:tcW w:type="dxa" w:w="1987"/>
          </w:tcPr>
          <w:p>
            <w:r>
              <w:rPr>
                <w:color w:val="555555"/>
                <w:sz w:val="19"/>
              </w:rPr>
              <w:t>[ … ]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1"/>
        </w:rPr>
        <w:t xml:space="preserve">Blended day-rate:  </w:t>
      </w:r>
      <w:r>
        <w:rPr>
          <w:color w:val="555555"/>
          <w:sz w:val="21"/>
        </w:rPr>
        <w:t>[ $ … ]</w:t>
      </w:r>
    </w:p>
    <w:p>
      <w:pPr>
        <w:spacing w:after="40"/>
      </w:pPr>
      <w:r>
        <w:rPr>
          <w:b/>
          <w:sz w:val="21"/>
        </w:rPr>
        <w:t xml:space="preserve">Estimated cost (low / expected / high):  </w:t>
      </w:r>
      <w:r>
        <w:rPr>
          <w:color w:val="555555"/>
          <w:sz w:val="21"/>
        </w:rPr>
        <w:t>[ $ … / $ … / $ … ]</w:t>
      </w:r>
    </w:p>
    <w:p>
      <w:pPr>
        <w:spacing w:before="180" w:after="60"/>
      </w:pPr>
      <w:r>
        <w:rPr>
          <w:b/>
          <w:sz w:val="26"/>
        </w:rPr>
        <w:t>2. Access-politics buffer</w:t>
      </w:r>
    </w:p>
    <w:p>
      <w:pPr>
        <w:spacing w:after="60"/>
      </w:pPr>
      <w:r>
        <w:rPr>
          <w:i/>
          <w:sz w:val="21"/>
        </w:rPr>
        <w:t>[Weeks of data-access / controls-review delay, and what that costs. This is the buffer juniors forget.]</w:t>
      </w:r>
    </w:p>
    <w:p>
      <w:pPr>
        <w:spacing w:before="180" w:after="60"/>
      </w:pPr>
      <w:r>
        <w:rPr>
          <w:b/>
          <w:sz w:val="26"/>
        </w:rPr>
        <w:t>3. The three pricing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9"/>
              </w:rPr>
              <w:t>Model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You bill on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Risk sits with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When to pick it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T&amp;M with a cap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hours, ceiling-bounded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shared</w:t>
            </w:r>
          </w:p>
        </w:tc>
        <w:tc>
          <w:tcPr>
            <w:tcW w:type="dxa" w:w="2484"/>
          </w:tcPr>
          <w:p>
            <w:r>
              <w:rPr>
                <w:color w:val="555555"/>
                <w:sz w:val="19"/>
              </w:rPr>
              <w:t>[scope still fuzzy]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Fixed-price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 scoped deliverable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2484"/>
          </w:tcPr>
          <w:p>
            <w:r>
              <w:rPr>
                <w:color w:val="555555"/>
                <w:sz w:val="19"/>
              </w:rPr>
              <w:t>[discovery was strong]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Outcome-based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 business result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shared, results-linked</w:t>
            </w:r>
          </w:p>
        </w:tc>
        <w:tc>
          <w:tcPr>
            <w:tcW w:type="dxa" w:w="2484"/>
          </w:tcPr>
          <w:p>
            <w:r>
              <w:rPr>
                <w:color w:val="555555"/>
                <w:sz w:val="19"/>
              </w:rPr>
              <w:t>[the result is clean &amp; measurable]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b/>
          <w:sz w:val="26"/>
        </w:rPr>
        <w:t>4. Price the pilot — three ways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Model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Number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color w:val="555555"/>
                <w:sz w:val="19"/>
              </w:rPr>
              <w:t>[T&amp;M-cap]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[$ … 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[blended rate × days, capped]</w:t>
            </w:r>
          </w:p>
        </w:tc>
      </w:tr>
      <w:tr>
        <w:tc>
          <w:tcPr>
            <w:tcW w:type="dxa" w:w="3312"/>
          </w:tcPr>
          <w:p>
            <w:r>
              <w:rPr>
                <w:color w:val="555555"/>
                <w:sz w:val="19"/>
              </w:rPr>
              <w:t>[Fixed-price]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[$ … 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[one number for the milestone set]</w:t>
            </w:r>
          </w:p>
        </w:tc>
      </w:tr>
      <w:tr>
        <w:tc>
          <w:tcPr>
            <w:tcW w:type="dxa" w:w="3312"/>
          </w:tcPr>
          <w:p>
            <w:r>
              <w:rPr>
                <w:color w:val="555555"/>
                <w:sz w:val="19"/>
              </w:rPr>
              <w:t>[Outcome-based]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[$ … base + bonus]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[per dispute auto-resolved within Reg E]</w:t>
            </w:r>
          </w:p>
        </w:tc>
      </w:tr>
      <w:tr>
        <w:tc>
          <w:tcPr>
            <w:tcW w:type="dxa" w:w="3312"/>
          </w:tcPr>
          <w:p>
            <w:r>
              <w:rPr>
                <w:color w:val="555555"/>
                <w:sz w:val="19"/>
              </w:rPr>
              <w:t>[Fixed floor + outcome bonus]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[$ … ]</w:t>
            </w:r>
          </w:p>
        </w:tc>
        <w:tc>
          <w:tcPr>
            <w:tcW w:type="dxa" w:w="3312"/>
          </w:tcPr>
          <w:p>
            <w:r>
              <w:rPr>
                <w:color w:val="555555"/>
                <w:sz w:val="19"/>
              </w:rPr>
              <w:t>[recommended for a nervous regulated client]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b/>
          <w:sz w:val="26"/>
        </w:rPr>
        <w:t>5. Recommendation</w:t>
      </w:r>
    </w:p>
    <w:p>
      <w:pPr>
        <w:spacing w:after="40"/>
      </w:pPr>
      <w:r>
        <w:rPr>
          <w:b/>
          <w:sz w:val="21"/>
        </w:rPr>
        <w:t xml:space="preserve">Chosen model:  </w:t>
      </w:r>
      <w:r>
        <w:rPr>
          <w:color w:val="555555"/>
          <w:sz w:val="21"/>
        </w:rPr>
        <w:t>[ fixed floor + outcome bonus ]</w:t>
      </w:r>
    </w:p>
    <w:p>
      <w:pPr>
        <w:spacing w:after="60"/>
      </w:pPr>
      <w:r>
        <w:rPr>
          <w:i/>
          <w:sz w:val="21"/>
        </w:rPr>
        <w:t>[One or two lines: why this model, in this client's terms (procurement gets a ceiling; the bonus is the alignment story for the board; the floor protects you while access politics resolve).]</w:t>
      </w:r>
    </w:p>
    <w:p>
      <w:pPr>
        <w:spacing w:before="180" w:after="60"/>
      </w:pPr>
      <w:r>
        <w:rPr>
          <w:b/>
          <w:sz w:val="26"/>
        </w:rPr>
        <w:t>6. Margin check</w:t>
      </w:r>
    </w:p>
    <w:p>
      <w:pPr>
        <w:spacing w:after="60"/>
      </w:pPr>
      <w:r>
        <w:rPr>
          <w:i w:val="0"/>
          <w:sz w:val="21"/>
        </w:rPr>
        <w:t>Price − cost − access buffer = [margin]. Sanity-check against revenue per engineer (~$0.6–1.0M / engineer / yr). If the pilot can't clear cost + buffer + margin, scope it smaller.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