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Statement of Work (Template)</w:t>
      </w:r>
    </w:p>
    <w:p>
      <w:pPr>
        <w:spacing w:after="160"/>
      </w:pPr>
      <w:r>
        <w:rPr>
          <w:i/>
          <w:color w:val="555555"/>
          <w:sz w:val="21"/>
        </w:rPr>
        <w:t>Fill the bracketed fields. The acceptance criteria are your M0 success criteria, copied in.</w:t>
      </w:r>
    </w:p>
    <w:p>
      <w:pPr>
        <w:spacing w:after="40"/>
      </w:pPr>
      <w:r>
        <w:rPr>
          <w:b/>
          <w:sz w:val="21"/>
        </w:rPr>
        <w:t xml:space="preserve">Vendor:  </w:t>
      </w:r>
      <w:r>
        <w:rPr>
          <w:color w:val="555555"/>
          <w:sz w:val="21"/>
        </w:rPr>
        <w:t>[ Forgepoint AI ]</w:t>
      </w:r>
    </w:p>
    <w:p>
      <w:pPr>
        <w:spacing w:after="40"/>
      </w:pPr>
      <w:r>
        <w:rPr>
          <w:b/>
          <w:sz w:val="21"/>
        </w:rPr>
        <w:t xml:space="preserve">Client:  </w:t>
      </w:r>
      <w:r>
        <w:rPr>
          <w:color w:val="555555"/>
          <w:sz w:val="21"/>
        </w:rPr>
        <w:t>[ Meridian Bank ]</w:t>
      </w:r>
    </w:p>
    <w:p>
      <w:pPr>
        <w:spacing w:after="40"/>
      </w:pPr>
      <w:r>
        <w:rPr>
          <w:b/>
          <w:sz w:val="21"/>
        </w:rPr>
        <w:t xml:space="preserve">Engagement:  </w:t>
      </w:r>
      <w:r>
        <w:rPr>
          <w:color w:val="555555"/>
          <w:sz w:val="21"/>
        </w:rPr>
        <w:t>[ Dispute-resolution agent — pilot ]</w:t>
      </w:r>
    </w:p>
    <w:p>
      <w:pPr>
        <w:spacing w:after="40"/>
      </w:pPr>
      <w:r>
        <w:rPr>
          <w:b/>
          <w:sz w:val="21"/>
        </w:rPr>
        <w:t xml:space="preserve">Version / Date:  </w:t>
      </w:r>
      <w:r>
        <w:rPr>
          <w:color w:val="555555"/>
          <w:sz w:val="21"/>
        </w:rPr>
        <w:t>[ v0.1 / __________ ]</w:t>
      </w:r>
    </w:p>
    <w:p>
      <w:pPr>
        <w:spacing w:before="180" w:after="60"/>
      </w:pPr>
      <w:r>
        <w:rPr>
          <w:b/>
          <w:sz w:val="26"/>
        </w:rPr>
        <w:t>1. Background &amp; objectives</w:t>
      </w:r>
    </w:p>
    <w:p>
      <w:pPr>
        <w:spacing w:after="60"/>
      </w:pPr>
      <w:r>
        <w:rPr>
          <w:i/>
          <w:sz w:val="21"/>
        </w:rPr>
        <w:t>[One short paragraph: the real problem from discovery, who feels it, what it costs, and the hard constraint (Reg E's 10-business-day clock). No solution language.]</w:t>
      </w:r>
    </w:p>
    <w:p>
      <w:pPr>
        <w:spacing w:before="180" w:after="60"/>
      </w:pPr>
      <w:r>
        <w:rPr>
          <w:b/>
          <w:sz w:val="26"/>
        </w:rPr>
        <w:t>2. Scope of work &amp; deliverables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  <w:t>Deliverable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Milestone</w:t>
            </w:r>
          </w:p>
        </w:tc>
      </w:tr>
      <w:tr>
        <w:tc>
          <w:tcPr>
            <w:tcW w:type="dxa" w:w="3312"/>
          </w:tcPr>
          <w:p>
            <w:r>
              <w:rPr>
                <w:color w:val="555555"/>
                <w:sz w:val="19"/>
              </w:rPr>
              <w:t>[Triage agent]</w:t>
            </w:r>
          </w:p>
        </w:tc>
        <w:tc>
          <w:tcPr>
            <w:tcW w:type="dxa" w:w="3312"/>
          </w:tcPr>
          <w:p>
            <w:r>
              <w:rPr>
                <w:color w:val="555555"/>
                <w:sz w:val="19"/>
              </w:rPr>
              <w:t>[classify Type-A vs Type-B]</w:t>
            </w:r>
          </w:p>
        </w:tc>
        <w:tc>
          <w:tcPr>
            <w:tcW w:type="dxa" w:w="3312"/>
          </w:tcPr>
          <w:p>
            <w:r>
              <w:rPr>
                <w:color w:val="555555"/>
                <w:sz w:val="19"/>
              </w:rPr>
              <w:t>[M2]</w:t>
            </w:r>
          </w:p>
        </w:tc>
      </w:tr>
      <w:tr>
        <w:tc>
          <w:tcPr>
            <w:tcW w:type="dxa" w:w="3312"/>
          </w:tcPr>
          <w:p>
            <w:r>
              <w:rPr>
                <w:color w:val="555555"/>
                <w:sz w:val="19"/>
              </w:rPr>
              <w:t>[Evidence + policy tools via MCP]</w:t>
            </w:r>
          </w:p>
        </w:tc>
        <w:tc>
          <w:tcPr>
            <w:tcW w:type="dxa" w:w="3312"/>
          </w:tcPr>
          <w:p>
            <w:r>
              <w:rPr>
                <w:color w:val="555555"/>
                <w:sz w:val="19"/>
              </w:rPr>
              <w:t>[gather across systems; cite policy]</w:t>
            </w:r>
          </w:p>
        </w:tc>
        <w:tc>
          <w:tcPr>
            <w:tcW w:type="dxa" w:w="3312"/>
          </w:tcPr>
          <w:p>
            <w:r>
              <w:rPr>
                <w:color w:val="555555"/>
                <w:sz w:val="19"/>
              </w:rPr>
              <w:t>[M3]</w:t>
            </w:r>
          </w:p>
        </w:tc>
      </w:tr>
      <w:tr>
        <w:tc>
          <w:tcPr>
            <w:tcW w:type="dxa" w:w="3312"/>
          </w:tcPr>
          <w:p>
            <w:r>
              <w:rPr>
                <w:color w:val="555555"/>
                <w:sz w:val="19"/>
              </w:rPr>
              <w:t>[Eval suite + deploy gate]</w:t>
            </w:r>
          </w:p>
        </w:tc>
        <w:tc>
          <w:tcPr>
            <w:tcW w:type="dxa" w:w="3312"/>
          </w:tcPr>
          <w:p>
            <w:r>
              <w:rPr>
                <w:color w:val="555555"/>
                <w:sz w:val="19"/>
              </w:rPr>
              <w:t>[golden set gating deploys]</w:t>
            </w:r>
          </w:p>
        </w:tc>
        <w:tc>
          <w:tcPr>
            <w:tcW w:type="dxa" w:w="3312"/>
          </w:tcPr>
          <w:p>
            <w:r>
              <w:rPr>
                <w:color w:val="555555"/>
                <w:sz w:val="19"/>
              </w:rPr>
              <w:t>[M4]</w:t>
            </w:r>
          </w:p>
        </w:tc>
      </w:tr>
      <w:tr>
        <w:tc>
          <w:tcPr>
            <w:tcW w:type="dxa" w:w="3312"/>
          </w:tcPr>
          <w:p>
            <w:r>
              <w:rPr>
                <w:color w:val="555555"/>
                <w:sz w:val="19"/>
              </w:rPr>
              <w:t>[ … ]</w:t>
            </w:r>
          </w:p>
        </w:tc>
        <w:tc>
          <w:tcPr>
            <w:tcW w:type="dxa" w:w="3312"/>
          </w:tcPr>
          <w:p>
            <w:r>
              <w:rPr>
                <w:color w:val="555555"/>
                <w:sz w:val="19"/>
              </w:rPr>
              <w:t>[ … ]</w:t>
            </w:r>
          </w:p>
        </w:tc>
        <w:tc>
          <w:tcPr>
            <w:tcW w:type="dxa" w:w="3312"/>
          </w:tcPr>
          <w:p>
            <w:r>
              <w:rPr>
                <w:color w:val="555555"/>
                <w:sz w:val="19"/>
              </w:rPr>
              <w:t>[ … ]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b/>
          <w:sz w:val="26"/>
        </w:rPr>
        <w:t>3. Acceptance criteria  (= your M0 success criteria)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2484"/>
          </w:tcPr>
          <w:p>
            <w:r>
              <w:rPr>
                <w:b/>
                <w:sz w:val="19"/>
              </w:rPr>
              <w:t>Metric</w:t>
            </w:r>
          </w:p>
        </w:tc>
        <w:tc>
          <w:tcPr>
            <w:tcW w:type="dxa" w:w="2484"/>
          </w:tcPr>
          <w:p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2484"/>
          </w:tcPr>
          <w:p>
            <w:r>
              <w:rPr>
                <w:b/>
                <w:sz w:val="19"/>
              </w:rPr>
              <w:t>Population</w:t>
            </w:r>
          </w:p>
        </w:tc>
      </w:tr>
      <w:tr>
        <w:tc>
          <w:tcPr>
            <w:tcW w:type="dxa" w:w="2484"/>
          </w:tcPr>
          <w:p>
            <w:r>
              <w:rPr>
                <w:color w:val="555555"/>
                <w:sz w:val="19"/>
              </w:rPr>
              <w:t>[Auto-triage Type-A]</w:t>
            </w:r>
          </w:p>
        </w:tc>
        <w:tc>
          <w:tcPr>
            <w:tcW w:type="dxa" w:w="2484"/>
          </w:tcPr>
          <w:p>
            <w:r>
              <w:rPr>
                <w:color w:val="555555"/>
                <w:sz w:val="19"/>
              </w:rPr>
              <w:t>[% auto-triaged at citation accuracy]</w:t>
            </w:r>
          </w:p>
        </w:tc>
        <w:tc>
          <w:tcPr>
            <w:tcW w:type="dxa" w:w="2484"/>
          </w:tcPr>
          <w:p>
            <w:r>
              <w:rPr>
                <w:color w:val="555555"/>
                <w:sz w:val="19"/>
              </w:rPr>
              <w:t>[≥80% @ ≥95%]</w:t>
            </w:r>
          </w:p>
        </w:tc>
        <w:tc>
          <w:tcPr>
            <w:tcW w:type="dxa" w:w="2484"/>
          </w:tcPr>
          <w:p>
            <w:r>
              <w:rPr>
                <w:color w:val="555555"/>
                <w:sz w:val="19"/>
              </w:rPr>
              <w:t>[150-case golden set]</w:t>
            </w:r>
          </w:p>
        </w:tc>
      </w:tr>
      <w:tr>
        <w:tc>
          <w:tcPr>
            <w:tcW w:type="dxa" w:w="2484"/>
          </w:tcPr>
          <w:p>
            <w:r>
              <w:rPr>
                <w:color w:val="555555"/>
                <w:sz w:val="19"/>
              </w:rPr>
              <w:t>[No agent-caused breaches]</w:t>
            </w:r>
          </w:p>
        </w:tc>
        <w:tc>
          <w:tcPr>
            <w:tcW w:type="dxa" w:w="2484"/>
          </w:tcPr>
          <w:p>
            <w:r>
              <w:rPr>
                <w:color w:val="555555"/>
                <w:sz w:val="19"/>
              </w:rPr>
              <w:t>[agent-caused Reg E breaches]</w:t>
            </w:r>
          </w:p>
        </w:tc>
        <w:tc>
          <w:tcPr>
            <w:tcW w:type="dxa" w:w="2484"/>
          </w:tcPr>
          <w:p>
            <w:r>
              <w:rPr>
                <w:color w:val="555555"/>
                <w:sz w:val="19"/>
              </w:rPr>
              <w:t>[= 0]</w:t>
            </w:r>
          </w:p>
        </w:tc>
        <w:tc>
          <w:tcPr>
            <w:tcW w:type="dxa" w:w="2484"/>
          </w:tcPr>
          <w:p>
            <w:r>
              <w:rPr>
                <w:color w:val="555555"/>
                <w:sz w:val="19"/>
              </w:rPr>
              <w:t>[all disputes]</w:t>
            </w:r>
          </w:p>
        </w:tc>
      </w:tr>
      <w:tr>
        <w:tc>
          <w:tcPr>
            <w:tcW w:type="dxa" w:w="2484"/>
          </w:tcPr>
          <w:p>
            <w:r>
              <w:rPr>
                <w:color w:val="555555"/>
                <w:sz w:val="19"/>
              </w:rPr>
              <w:t>[Provisional-credit errors]</w:t>
            </w:r>
          </w:p>
        </w:tc>
        <w:tc>
          <w:tcPr>
            <w:tcW w:type="dxa" w:w="2484"/>
          </w:tcPr>
          <w:p>
            <w:r>
              <w:rPr>
                <w:color w:val="555555"/>
                <w:sz w:val="19"/>
              </w:rPr>
              <w:t>[error rate]</w:t>
            </w:r>
          </w:p>
        </w:tc>
        <w:tc>
          <w:tcPr>
            <w:tcW w:type="dxa" w:w="2484"/>
          </w:tcPr>
          <w:p>
            <w:r>
              <w:rPr>
                <w:color w:val="555555"/>
                <w:sz w:val="19"/>
              </w:rPr>
              <w:t>[≤2%]</w:t>
            </w:r>
          </w:p>
        </w:tc>
        <w:tc>
          <w:tcPr>
            <w:tcW w:type="dxa" w:w="2484"/>
          </w:tcPr>
          <w:p>
            <w:r>
              <w:rPr>
                <w:color w:val="555555"/>
                <w:sz w:val="19"/>
              </w:rPr>
              <w:t>[vs human baseline]</w:t>
            </w:r>
          </w:p>
        </w:tc>
      </w:tr>
      <w:tr>
        <w:tc>
          <w:tcPr>
            <w:tcW w:type="dxa" w:w="2484"/>
          </w:tcPr>
          <w:p>
            <w:r>
              <w:rPr>
                <w:color w:val="555555"/>
                <w:sz w:val="19"/>
              </w:rPr>
              <w:t>[Human on the hard cases]</w:t>
            </w:r>
          </w:p>
        </w:tc>
        <w:tc>
          <w:tcPr>
            <w:tcW w:type="dxa" w:w="2484"/>
          </w:tcPr>
          <w:p>
            <w:r>
              <w:rPr>
                <w:color w:val="555555"/>
                <w:sz w:val="19"/>
              </w:rPr>
              <w:t>[low-confidence routed to human]</w:t>
            </w:r>
          </w:p>
        </w:tc>
        <w:tc>
          <w:tcPr>
            <w:tcW w:type="dxa" w:w="2484"/>
          </w:tcPr>
          <w:p>
            <w:r>
              <w:rPr>
                <w:color w:val="555555"/>
                <w:sz w:val="19"/>
              </w:rPr>
              <w:t>[&lt; 1 hour]</w:t>
            </w:r>
          </w:p>
        </w:tc>
        <w:tc>
          <w:tcPr>
            <w:tcW w:type="dxa" w:w="2484"/>
          </w:tcPr>
          <w:p>
            <w:r>
              <w:rPr>
                <w:color w:val="555555"/>
                <w:sz w:val="19"/>
              </w:rPr>
              <w:t>[low-confidence set]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b/>
          <w:sz w:val="26"/>
        </w:rPr>
        <w:t>4. Out of scope</w:t>
      </w:r>
    </w:p>
    <w:p>
      <w:pPr>
        <w:spacing w:after="60"/>
      </w:pPr>
      <w:r>
        <w:rPr>
          <w:i/>
          <w:sz w:val="21"/>
        </w:rPr>
        <w:t>[Bullet the things you are deliberately NOT doing in the pilot.]</w:t>
      </w:r>
    </w:p>
    <w:p>
      <w:pPr>
        <w:spacing w:before="180" w:after="60"/>
      </w:pPr>
      <w:r>
        <w:rPr>
          <w:b/>
          <w:sz w:val="26"/>
        </w:rPr>
        <w:t>5. Timeline &amp;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  <w:t>Milestone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Target date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Sign-off</w:t>
            </w:r>
          </w:p>
        </w:tc>
      </w:tr>
      <w:tr>
        <w:tc>
          <w:tcPr>
            <w:tcW w:type="dxa" w:w="3312"/>
          </w:tcPr>
          <w:p>
            <w:r>
              <w:rPr>
                <w:color w:val="555555"/>
                <w:sz w:val="19"/>
              </w:rPr>
              <w:t>[M1 — SoW + Architecture]</w:t>
            </w:r>
          </w:p>
        </w:tc>
        <w:tc>
          <w:tcPr>
            <w:tcW w:type="dxa" w:w="3312"/>
          </w:tcPr>
          <w:p>
            <w:r>
              <w:rPr>
                <w:color w:val="555555"/>
                <w:sz w:val="19"/>
              </w:rPr>
              <w:t>[ … ]</w:t>
            </w:r>
          </w:p>
        </w:tc>
        <w:tc>
          <w:tcPr>
            <w:tcW w:type="dxa" w:w="3312"/>
          </w:tcPr>
          <w:p>
            <w:r>
              <w:rPr>
                <w:color w:val="555555"/>
                <w:sz w:val="19"/>
              </w:rPr>
              <w:t>[ … ]</w:t>
            </w:r>
          </w:p>
        </w:tc>
      </w:tr>
      <w:tr>
        <w:tc>
          <w:tcPr>
            <w:tcW w:type="dxa" w:w="3312"/>
          </w:tcPr>
          <w:p>
            <w:r>
              <w:rPr>
                <w:color w:val="555555"/>
                <w:sz w:val="19"/>
              </w:rPr>
              <w:t>[M2 — Agent in CI]</w:t>
            </w:r>
          </w:p>
        </w:tc>
        <w:tc>
          <w:tcPr>
            <w:tcW w:type="dxa" w:w="3312"/>
          </w:tcPr>
          <w:p>
            <w:r>
              <w:rPr>
                <w:color w:val="555555"/>
                <w:sz w:val="19"/>
              </w:rPr>
              <w:t>[ … ]</w:t>
            </w:r>
          </w:p>
        </w:tc>
        <w:tc>
          <w:tcPr>
            <w:tcW w:type="dxa" w:w="3312"/>
          </w:tcPr>
          <w:p>
            <w:r>
              <w:rPr>
                <w:color w:val="555555"/>
                <w:sz w:val="19"/>
              </w:rPr>
              <w:t>[ … ]</w:t>
            </w:r>
          </w:p>
        </w:tc>
      </w:tr>
      <w:tr>
        <w:tc>
          <w:tcPr>
            <w:tcW w:type="dxa" w:w="3312"/>
          </w:tcPr>
          <w:p>
            <w:r>
              <w:rPr>
                <w:color w:val="555555"/>
                <w:sz w:val="19"/>
              </w:rPr>
              <w:t>[M3 — Access-controlled]</w:t>
            </w:r>
          </w:p>
        </w:tc>
        <w:tc>
          <w:tcPr>
            <w:tcW w:type="dxa" w:w="3312"/>
          </w:tcPr>
          <w:p>
            <w:r>
              <w:rPr>
                <w:color w:val="555555"/>
                <w:sz w:val="19"/>
              </w:rPr>
              <w:t>[ … ]</w:t>
            </w:r>
          </w:p>
        </w:tc>
        <w:tc>
          <w:tcPr>
            <w:tcW w:type="dxa" w:w="3312"/>
          </w:tcPr>
          <w:p>
            <w:r>
              <w:rPr>
                <w:color w:val="555555"/>
                <w:sz w:val="19"/>
              </w:rPr>
              <w:t>[ … ]</w:t>
            </w:r>
          </w:p>
        </w:tc>
      </w:tr>
      <w:tr>
        <w:tc>
          <w:tcPr>
            <w:tcW w:type="dxa" w:w="3312"/>
          </w:tcPr>
          <w:p>
            <w:r>
              <w:rPr>
                <w:color w:val="555555"/>
                <w:sz w:val="19"/>
              </w:rPr>
              <w:t>[M4 — Capstone]</w:t>
            </w:r>
          </w:p>
        </w:tc>
        <w:tc>
          <w:tcPr>
            <w:tcW w:type="dxa" w:w="3312"/>
          </w:tcPr>
          <w:p>
            <w:r>
              <w:rPr>
                <w:color w:val="555555"/>
                <w:sz w:val="19"/>
              </w:rPr>
              <w:t>[ … ]</w:t>
            </w:r>
          </w:p>
        </w:tc>
        <w:tc>
          <w:tcPr>
            <w:tcW w:type="dxa" w:w="3312"/>
          </w:tcPr>
          <w:p>
            <w:r>
              <w:rPr>
                <w:color w:val="555555"/>
                <w:sz w:val="19"/>
              </w:rPr>
              <w:t>[ … ]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b/>
          <w:sz w:val="26"/>
        </w:rPr>
        <w:t>6. Pricing &amp; payment</w:t>
      </w:r>
    </w:p>
    <w:p>
      <w:pPr>
        <w:spacing w:after="40"/>
      </w:pPr>
      <w:r>
        <w:rPr>
          <w:b/>
          <w:sz w:val="21"/>
        </w:rPr>
        <w:t xml:space="preserve">Pricing model:  </w:t>
      </w:r>
      <w:r>
        <w:rPr>
          <w:color w:val="555555"/>
          <w:sz w:val="21"/>
        </w:rPr>
        <w:t>[ fixed-price floor + outcome bonus 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Basis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Amount</w:t>
            </w:r>
          </w:p>
        </w:tc>
      </w:tr>
      <w:tr>
        <w:tc>
          <w:tcPr>
            <w:tcW w:type="dxa" w:w="3312"/>
          </w:tcPr>
          <w:p>
            <w:r>
              <w:rPr>
                <w:color w:val="555555"/>
                <w:sz w:val="19"/>
              </w:rPr>
              <w:t>[Pilot fee]</w:t>
            </w:r>
          </w:p>
        </w:tc>
        <w:tc>
          <w:tcPr>
            <w:tcW w:type="dxa" w:w="3312"/>
          </w:tcPr>
          <w:p>
            <w:r>
              <w:rPr>
                <w:color w:val="555555"/>
                <w:sz w:val="19"/>
              </w:rPr>
              <w:t>[fixed for the milestone set]</w:t>
            </w:r>
          </w:p>
        </w:tc>
        <w:tc>
          <w:tcPr>
            <w:tcW w:type="dxa" w:w="3312"/>
          </w:tcPr>
          <w:p>
            <w:r>
              <w:rPr>
                <w:color w:val="555555"/>
                <w:sz w:val="19"/>
              </w:rPr>
              <w:t>[$ … ]</w:t>
            </w:r>
          </w:p>
        </w:tc>
      </w:tr>
      <w:tr>
        <w:tc>
          <w:tcPr>
            <w:tcW w:type="dxa" w:w="3312"/>
          </w:tcPr>
          <w:p>
            <w:r>
              <w:rPr>
                <w:color w:val="555555"/>
                <w:sz w:val="19"/>
              </w:rPr>
              <w:t>[Outcome bonus]</w:t>
            </w:r>
          </w:p>
        </w:tc>
        <w:tc>
          <w:tcPr>
            <w:tcW w:type="dxa" w:w="3312"/>
          </w:tcPr>
          <w:p>
            <w:r>
              <w:rPr>
                <w:color w:val="555555"/>
                <w:sz w:val="19"/>
              </w:rPr>
              <w:t>[per dispute auto-resolved within Reg E]</w:t>
            </w:r>
          </w:p>
        </w:tc>
        <w:tc>
          <w:tcPr>
            <w:tcW w:type="dxa" w:w="3312"/>
          </w:tcPr>
          <w:p>
            <w:r>
              <w:rPr>
                <w:color w:val="555555"/>
                <w:sz w:val="19"/>
              </w:rPr>
              <w:t>[$ … ]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i/>
          <w:sz w:val="21"/>
        </w:rPr>
        <w:t>Payment schedule: [e.g. 30% on M1, 40% on M3, 30% on M4 acceptance].</w:t>
      </w:r>
    </w:p>
    <w:p>
      <w:pPr>
        <w:spacing w:before="180" w:after="60"/>
      </w:pPr>
      <w:r>
        <w:rPr>
          <w:b/>
          <w:sz w:val="26"/>
        </w:rPr>
        <w:t>7. IP &amp; licensing</w:t>
      </w:r>
    </w:p>
    <w:p>
      <w:pPr>
        <w:spacing w:after="60"/>
      </w:pPr>
      <w:r>
        <w:rPr>
          <w:i/>
          <w:sz w:val="21"/>
        </w:rPr>
        <w:t>[State ownership for each artifact class: agents, prompts, fine-tunes / weights, embeddings / derived data.]</w:t>
      </w:r>
    </w:p>
    <w:p>
      <w:pPr>
        <w:spacing w:before="180" w:after="60"/>
      </w:pPr>
      <w:r>
        <w:rPr>
          <w:b/>
          <w:sz w:val="26"/>
        </w:rPr>
        <w:t>8. Data annex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  <w:sz w:val="19"/>
              </w:rPr>
              <w:t>Data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  <w:t>Where it lives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  <w:t>Retention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  <w:t>Deletion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  <w:t>Subprocessors</w:t>
            </w:r>
          </w:p>
        </w:tc>
      </w:tr>
      <w:tr>
        <w:tc>
          <w:tcPr>
            <w:tcW w:type="dxa" w:w="1987"/>
          </w:tcPr>
          <w:p>
            <w:r>
              <w:rPr>
                <w:color w:val="555555"/>
                <w:sz w:val="19"/>
              </w:rPr>
              <w:t>[Transactions]</w:t>
            </w:r>
          </w:p>
        </w:tc>
        <w:tc>
          <w:tcPr>
            <w:tcW w:type="dxa" w:w="1987"/>
          </w:tcPr>
          <w:p>
            <w:r>
              <w:rPr>
                <w:color w:val="555555"/>
                <w:sz w:val="19"/>
              </w:rPr>
              <w:t>[core banking]</w:t>
            </w:r>
          </w:p>
        </w:tc>
        <w:tc>
          <w:tcPr>
            <w:tcW w:type="dxa" w:w="1987"/>
          </w:tcPr>
          <w:p>
            <w:r>
              <w:rPr>
                <w:color w:val="555555"/>
                <w:sz w:val="19"/>
              </w:rPr>
              <w:t>[ … ]</w:t>
            </w:r>
          </w:p>
        </w:tc>
        <w:tc>
          <w:tcPr>
            <w:tcW w:type="dxa" w:w="1987"/>
          </w:tcPr>
          <w:p>
            <w:r>
              <w:rPr>
                <w:color w:val="555555"/>
                <w:sz w:val="19"/>
              </w:rPr>
              <w:t>[ … ]</w:t>
            </w:r>
          </w:p>
        </w:tc>
        <w:tc>
          <w:tcPr>
            <w:tcW w:type="dxa" w:w="1987"/>
          </w:tcPr>
          <w:p>
            <w:r>
              <w:rPr>
                <w:color w:val="555555"/>
                <w:sz w:val="19"/>
              </w:rPr>
              <w:t>[ … ]</w:t>
            </w:r>
          </w:p>
        </w:tc>
      </w:tr>
      <w:tr>
        <w:tc>
          <w:tcPr>
            <w:tcW w:type="dxa" w:w="1987"/>
          </w:tcPr>
          <w:p>
            <w:r>
              <w:rPr>
                <w:color w:val="555555"/>
                <w:sz w:val="19"/>
              </w:rPr>
              <w:t>[Tickets]</w:t>
            </w:r>
          </w:p>
        </w:tc>
        <w:tc>
          <w:tcPr>
            <w:tcW w:type="dxa" w:w="1987"/>
          </w:tcPr>
          <w:p>
            <w:r>
              <w:rPr>
                <w:color w:val="555555"/>
                <w:sz w:val="19"/>
              </w:rPr>
              <w:t>[ServiceNow]</w:t>
            </w:r>
          </w:p>
        </w:tc>
        <w:tc>
          <w:tcPr>
            <w:tcW w:type="dxa" w:w="1987"/>
          </w:tcPr>
          <w:p>
            <w:r>
              <w:rPr>
                <w:color w:val="555555"/>
                <w:sz w:val="19"/>
              </w:rPr>
              <w:t>[ … ]</w:t>
            </w:r>
          </w:p>
        </w:tc>
        <w:tc>
          <w:tcPr>
            <w:tcW w:type="dxa" w:w="1987"/>
          </w:tcPr>
          <w:p>
            <w:r>
              <w:rPr>
                <w:color w:val="555555"/>
                <w:sz w:val="19"/>
              </w:rPr>
              <w:t>[ … ]</w:t>
            </w:r>
          </w:p>
        </w:tc>
        <w:tc>
          <w:tcPr>
            <w:tcW w:type="dxa" w:w="1987"/>
          </w:tcPr>
          <w:p>
            <w:r>
              <w:rPr>
                <w:color w:val="555555"/>
                <w:sz w:val="19"/>
              </w:rPr>
              <w:t>[ … ]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b/>
          <w:sz w:val="26"/>
        </w:rPr>
        <w:t>9. Security &amp; compliance</w:t>
      </w:r>
    </w:p>
    <w:p>
      <w:pPr>
        <w:spacing w:after="60"/>
      </w:pPr>
      <w:r>
        <w:rPr>
          <w:i w:val="0"/>
          <w:sz w:val="21"/>
        </w:rPr>
        <w:t>Synthetic data only until the controls review passes. The agent acts under the analyst's identity (OAuth2 on-behalf-of); access scope is enforced in the integration layer (RBAC), not the model; every action is audited with the acting identity. [Add client-specific controls.]</w:t>
      </w:r>
    </w:p>
    <w:p>
      <w:pPr>
        <w:spacing w:before="180" w:after="60"/>
      </w:pPr>
      <w:r>
        <w:rPr>
          <w:b/>
          <w:sz w:val="26"/>
        </w:rPr>
        <w:t>10. Change control</w:t>
      </w:r>
    </w:p>
    <w:p>
      <w:pPr>
        <w:spacing w:after="60"/>
      </w:pPr>
      <w:r>
        <w:rPr>
          <w:i/>
          <w:sz w:val="21"/>
        </w:rPr>
        <w:t>[How scope changes are requested, estimated, and priced before work starts.]</w:t>
      </w:r>
    </w:p>
    <w:p>
      <w:pPr>
        <w:spacing w:before="180" w:after="60"/>
      </w:pPr>
      <w:r>
        <w:rPr>
          <w:b/>
          <w:sz w:val="26"/>
        </w:rPr>
        <w:t>11. Assumptions &amp; dependencies</w:t>
      </w:r>
    </w:p>
    <w:p>
      <w:pPr>
        <w:spacing w:after="60"/>
      </w:pPr>
      <w:r>
        <w:rPr>
          <w:i/>
          <w:sz w:val="21"/>
        </w:rPr>
        <w:t>[Access timelines (data-access politics is the top risk), client responsibilities, environments.]</w:t>
      </w:r>
    </w:p>
    <w:p>
      <w:pPr>
        <w:spacing w:before="180" w:after="60"/>
      </w:pPr>
      <w:r>
        <w:rPr>
          <w:b/>
          <w:sz w:val="26"/>
        </w:rPr>
        <w:t>12. Exit &amp; offboarding</w:t>
      </w:r>
    </w:p>
    <w:p>
      <w:pPr>
        <w:spacing w:after="60"/>
      </w:pPr>
      <w:r>
        <w:rPr>
          <w:i/>
          <w:sz w:val="21"/>
        </w:rPr>
        <w:t>[Data deletion, knowledge handover, and what the client keeps if the engagement ends.]</w:t>
      </w:r>
    </w:p>
    <w:p>
      <w:pPr>
        <w:spacing w:before="180" w:after="60"/>
      </w:pPr>
      <w:r>
        <w:rPr>
          <w:b/>
          <w:sz w:val="26"/>
        </w:rPr>
        <w:t>13. Signatures</w:t>
      </w:r>
    </w:p>
    <w:p>
      <w:pPr>
        <w:spacing w:after="40"/>
      </w:pPr>
      <w:r>
        <w:rPr>
          <w:b/>
          <w:sz w:val="21"/>
        </w:rPr>
        <w:t xml:space="preserve">Vendor:  </w:t>
      </w:r>
      <w:r>
        <w:rPr>
          <w:color w:val="555555"/>
          <w:sz w:val="21"/>
        </w:rPr>
        <w:t>[ name / title / date ]</w:t>
      </w:r>
    </w:p>
    <w:p>
      <w:pPr>
        <w:spacing w:after="40"/>
      </w:pPr>
      <w:r>
        <w:rPr>
          <w:b/>
          <w:sz w:val="21"/>
        </w:rPr>
        <w:t xml:space="preserve">Client:  </w:t>
      </w:r>
      <w:r>
        <w:rPr>
          <w:color w:val="555555"/>
          <w:sz w:val="21"/>
        </w:rPr>
        <w:t>[ name / title / date ]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