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j06wx64i88d" w:id="0"/>
      <w:bookmarkEnd w:id="0"/>
      <w:r w:rsidDel="00000000" w:rsidR="00000000" w:rsidRPr="00000000">
        <w:rPr>
          <w:rtl w:val="0"/>
        </w:rPr>
        <w:t xml:space="preserve">Meridian Vendor Security Questionnaire — 15 items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 class the instructor picks six of the fifteen and puts each one to a named student, who answers as the vendor in chat within two minutes. The instructor then pushes back with the follow-ups below. A passing answer names a concrete control. A failing answer is "we'll figure that out during the build."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residency &amp; segregation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Where will Meridian data be stored and processed, in which region/tenant, and how is it logically and physically segregated from your other clients' data?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classification &amp; minimization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categories of Meridian data does your system require to function, and what is the minimum data set you can operate on? Justify every field you ingest.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Synthetic vs. production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 your solution be built, tested, and demonstrated entirely against synthetic data prior to any production access? Describe exactly what breaks, if anything, without real data.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Identity &amp; agent 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Under whose identity do your agents act when calling our systems? How do you guarantee an agent cannot access data the end user behind it is not authorized to see?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 control &amp; least privilege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is role-based access enforced, where is it enforced (agent, integration layer, or system of record), and how do you prove least privilege end to end?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Authentication &amp; secrets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are credentials, API keys, and tokens issued, stored, rotated, and revoked? Do you use a managed secrets store? Is any secret ever in source control or a prompt?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Encryption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Describe encryption in transit and at rest, key management and ownership. Who holds the keys — you, us, or the cloud provider — and can we revoke your access unilaterally?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logging &amp; traceability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 every action your agents take — every tool call, every data read, every write — logged immutably with the acting identity, timestamp, and decision (allow/deny)? Can we export it?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 injection &amp; untrusted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Your agents read documents and tickets that contain attacker-influenceable text. How do you defend against prompt injection and prevent data exfiltration through agent outputs?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&amp; output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do you prevent the agent from giving a confidently wrong answer on a regulated matter (e.g., a Reg E deadline)? What grounding, citation, and guardrail controls are in place?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Human-in-the-loop &amp; autonomy limits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Which actions can the agent take autonomously and which require human approval? Where is that boundary configured and who can change it?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Vulnerability management &amp; SDLC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Describe your secure development lifecycle: dependency scanning, vulnerability disclosure, patch SLAs, and how an eval suite gates what reaches production.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Incident response &amp; breach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is your incident response process and your contractual breach-notification window to us? Who is our named contact at 2am?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Subprocessors &amp; model providers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all subprocessors and model/API providers in the data path (model provider, cloud, search/vector services, etc.). What is each one's data-retention and training-use policy on our data?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Exit, data deletion &amp;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 termination, what happens to our data, your access, and any artifacts (prompts, fine-tunes, embeddings) derived from it? Who owns the IP you build during the engagement, and how is deletion verified?</w:t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