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5.png" ContentType="image/png"/>
  <Override PartName="/word/media/rId39.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ClaimSense AI — Statement of Work, Pricing &amp; Architecture</w:t>
      </w:r>
    </w:p>
    <w:p>
      <w:pPr>
        <w:pStyle w:val="Subtitle"/>
      </w:pPr>
      <w:r>
        <w:t xml:space="preserve">FDE Capstone · Milestone W2 (Course Week 14) · Stack A: OpenAI Agents SDK + AWS</w:t>
      </w:r>
    </w:p>
    <w:p>
      <w:pPr>
        <w:pStyle w:val="Author"/>
      </w:pPr>
      <w:r>
        <w:t xml:space="preserve">Client: AutoSure Insurance, Houston TX (synthetic) · FDE: Pranjal</w:t>
      </w:r>
    </w:p>
    <w:p>
      <w:pPr>
        <w:pStyle w:val="Date"/>
      </w:pPr>
      <w:r>
        <w:t xml:space="preserve">Submitted 2026-10-09 · SOW-ASI-2026-01 v1.0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summary"/>
    <w:p>
      <w:pPr>
        <w:pStyle w:val="Heading1"/>
      </w:pPr>
      <w:r>
        <w:t xml:space="preserve">Summary</w:t>
      </w:r>
    </w:p>
    <w:tbl>
      <w:tblPr>
        <w:tblStyle w:val="Table"/>
        <w:tblW w:type="dxa" w:w="10080"/>
        <w:tblLayout w:type="fixed"/>
        <w:tblLook w:firstRow="1" w:lastRow="0" w:firstColumn="0" w:lastColumn="0" w:noHBand="0" w:noVBand="0" w:val="0020"/>
      </w:tblPr>
      <w:tblGrid>
        <w:gridCol w:w="8825"/>
        <w:gridCol w:w="1255"/>
      </w:tblGrid>
      <w:tr>
        <w:trPr>
          <w:tblHeader w:val="on"/>
        </w:trPr>
        <w:tc>
          <w:tcPr>
            <w:tcW w:w="8825" w:type="dxa"/>
          </w:tcPr>
          <w:p>
            <w:pPr>
              <w:pStyle w:val="Compact"/>
            </w:pPr>
            <w:r>
              <w:t xml:space="preserve">Deliverable required this week</w:t>
            </w:r>
          </w:p>
        </w:tc>
        <w:tc>
          <w:tcPr>
            <w:tcW w:w="1255" w:type="dxa"/>
          </w:tcPr>
          <w:p>
            <w:pPr>
              <w:pStyle w:val="Compact"/>
            </w:pPr>
            <w:r>
              <w:t xml:space="preserve">Where</w:t>
            </w:r>
          </w:p>
        </w:tc>
      </w:tr>
      <w:tr>
        <w:tc>
          <w:tcPr>
            <w:tcW w:w="8825" w:type="dxa"/>
          </w:tcPr>
          <w:p>
            <w:pPr>
              <w:pStyle w:val="Compact"/>
            </w:pPr>
            <w:r>
              <w:t xml:space="preserve">Statement of Work (2 pages): scope, acceptance criteria, IP and data handling, five-week timeline</w:t>
            </w:r>
          </w:p>
        </w:tc>
        <w:tc>
          <w:tcPr>
            <w:tcW w:w="1255" w:type="dxa"/>
          </w:tcPr>
          <w:p>
            <w:pPr>
              <w:pStyle w:val="Compact"/>
            </w:pPr>
            <w:r>
              <w:t xml:space="preserve">Part 1</w:t>
            </w:r>
          </w:p>
        </w:tc>
      </w:tr>
      <w:tr>
        <w:tc>
          <w:tcPr>
            <w:tcW w:w="8825" w:type="dxa"/>
          </w:tcPr>
          <w:p>
            <w:pPr>
              <w:pStyle w:val="Compact"/>
            </w:pPr>
            <w:r>
              <w:t xml:space="preserve">Pricing decision with documented reasoning and explicit assumptions</w:t>
            </w:r>
          </w:p>
        </w:tc>
        <w:tc>
          <w:tcPr>
            <w:tcW w:w="1255" w:type="dxa"/>
          </w:tcPr>
          <w:p>
            <w:pPr>
              <w:pStyle w:val="Compact"/>
            </w:pPr>
            <w:r>
              <w:t xml:space="preserve">Part 2</w:t>
            </w:r>
          </w:p>
        </w:tc>
      </w:tr>
      <w:tr>
        <w:tc>
          <w:tcPr>
            <w:tcW w:w="8825" w:type="dxa"/>
          </w:tcPr>
          <w:p>
            <w:pPr>
              <w:pStyle w:val="Compact"/>
            </w:pPr>
            <w:r>
              <w:t xml:space="preserve">Architecture diagram: four agents, MCP layer, three mock systems, RAG, auth boundary, human gate</w:t>
            </w:r>
          </w:p>
        </w:tc>
        <w:tc>
          <w:tcPr>
            <w:tcW w:w="1255" w:type="dxa"/>
          </w:tcPr>
          <w:p>
            <w:pPr>
              <w:pStyle w:val="Compact"/>
            </w:pPr>
            <w:r>
              <w:t xml:space="preserve">Part 3</w:t>
            </w:r>
          </w:p>
        </w:tc>
      </w:tr>
      <w:tr>
        <w:tc>
          <w:tcPr>
            <w:tcW w:w="8825" w:type="dxa"/>
          </w:tcPr>
          <w:p>
            <w:pPr>
              <w:pStyle w:val="Compact"/>
            </w:pPr>
            <w:r>
              <w:t xml:space="preserve">Risk register: top 5 with likelihood, impact, mitigation</w:t>
            </w:r>
          </w:p>
        </w:tc>
        <w:tc>
          <w:tcPr>
            <w:tcW w:w="1255" w:type="dxa"/>
          </w:tcPr>
          <w:p>
            <w:pPr>
              <w:pStyle w:val="Compact"/>
            </w:pPr>
            <w:r>
              <w:t xml:space="preserve">Part 4</w:t>
            </w:r>
          </w:p>
        </w:tc>
      </w:tr>
      <w:tr>
        <w:tc>
          <w:tcPr>
            <w:tcW w:w="8825" w:type="dxa"/>
          </w:tcPr>
          <w:p>
            <w:pPr>
              <w:pStyle w:val="Compact"/>
            </w:pPr>
            <w:r>
              <w:t xml:space="preserve">MCP tool contract: typed schemas for all three systems, idempotency rules</w:t>
            </w:r>
          </w:p>
        </w:tc>
        <w:tc>
          <w:tcPr>
            <w:tcW w:w="1255" w:type="dxa"/>
          </w:tcPr>
          <w:p>
            <w:pPr>
              <w:pStyle w:val="Compact"/>
            </w:pPr>
            <w:r>
              <w:t xml:space="preserve">Part 5</w:t>
            </w:r>
          </w:p>
        </w:tc>
      </w:tr>
      <w:tr>
        <w:tc>
          <w:tcPr>
            <w:tcW w:w="8825" w:type="dxa"/>
          </w:tcPr>
          <w:p>
            <w:pPr>
              <w:pStyle w:val="Compact"/>
            </w:pPr>
            <w:r>
              <w:t xml:space="preserve">Synthetic data shapes for all three mock systems</w:t>
            </w:r>
          </w:p>
        </w:tc>
        <w:tc>
          <w:tcPr>
            <w:tcW w:w="1255" w:type="dxa"/>
          </w:tcPr>
          <w:p>
            <w:pPr>
              <w:pStyle w:val="Compact"/>
            </w:pPr>
            <w:r>
              <w:t xml:space="preserve">Part 6</w:t>
            </w:r>
          </w:p>
        </w:tc>
      </w:tr>
      <w:tr>
        <w:tc>
          <w:tcPr>
            <w:tcW w:w="8825" w:type="dxa"/>
          </w:tcPr>
          <w:p>
            <w:pPr>
              <w:pStyle w:val="Compact"/>
            </w:pPr>
            <w:r>
              <w:t xml:space="preserve">AWS setup: S3, Cognito user pool, ECR</w:t>
            </w:r>
          </w:p>
        </w:tc>
        <w:tc>
          <w:tcPr>
            <w:tcW w:w="1255" w:type="dxa"/>
          </w:tcPr>
          <w:p>
            <w:pPr>
              <w:pStyle w:val="Compact"/>
            </w:pPr>
            <w:r>
              <w:t xml:space="preserve">Part 7</w:t>
            </w:r>
          </w:p>
        </w:tc>
      </w:tr>
    </w:tbl>
    <w:p/>
    <w:tbl>
      <w:tblPr>
        <w:tblStyle w:val="Table"/>
        <w:tblW w:type="dxa" w:w="10080"/>
        <w:tblLayout w:type="fixed"/>
        <w:tblLook w:firstRow="1" w:lastRow="0" w:firstColumn="0" w:lastColumn="0" w:noHBand="0" w:noVBand="0" w:val="0020"/>
      </w:tblPr>
      <w:tblGrid>
        <w:gridCol w:w="1502"/>
        <w:gridCol w:w="8578"/>
      </w:tblGrid>
      <w:tr>
        <w:trPr>
          <w:tblHeader w:val="on"/>
        </w:trPr>
        <w:tc>
          <w:tcPr>
            <w:tcW w:w="1502" w:type="dxa"/>
          </w:tcPr>
          <w:p>
            <w:pPr>
              <w:pStyle w:val="Compact"/>
            </w:pPr>
            <w:r>
              <w:t xml:space="preserve">Key figure</w:t>
            </w:r>
          </w:p>
        </w:tc>
        <w:tc>
          <w:tcPr>
            <w:tcW w:w="8578" w:type="dxa"/>
          </w:tcPr>
          <w:p>
            <w:pPr>
              <w:pStyle w:val="Compact"/>
            </w:pPr>
          </w:p>
        </w:tc>
      </w:tr>
      <w:tr>
        <w:tc>
          <w:tcPr>
            <w:tcW w:w="1502" w:type="dxa"/>
          </w:tcPr>
          <w:p>
            <w:pPr>
              <w:pStyle w:val="Compact"/>
            </w:pPr>
            <w:r>
              <w:rPr>
                <w:b/>
                <w:bCs/>
              </w:rPr>
              <w:t xml:space="preserve">$64,500</w:t>
            </w:r>
          </w:p>
        </w:tc>
        <w:tc>
          <w:tcPr>
            <w:tcW w:w="8578" w:type="dxa"/>
          </w:tcPr>
          <w:p>
            <w:pPr>
              <w:pStyle w:val="Compact"/>
            </w:pPr>
            <w:r>
              <w:t xml:space="preserve">Fee cap (T&amp;M underneath), plus up to $1,500 pass-through at cost</w:t>
            </w:r>
          </w:p>
        </w:tc>
      </w:tr>
      <w:tr>
        <w:tc>
          <w:tcPr>
            <w:tcW w:w="1502" w:type="dxa"/>
          </w:tcPr>
          <w:p>
            <w:pPr>
              <w:pStyle w:val="Compact"/>
            </w:pPr>
            <w:r>
              <w:rPr>
                <w:b/>
                <w:bCs/>
              </w:rPr>
              <w:t xml:space="preserve">~2 min</w:t>
            </w:r>
          </w:p>
        </w:tc>
        <w:tc>
          <w:tcPr>
            <w:tcW w:w="8578" w:type="dxa"/>
          </w:tcPr>
          <w:p>
            <w:pPr>
              <w:pStyle w:val="Compact"/>
            </w:pPr>
            <w:r>
              <w:t xml:space="preserve">Time saved per claim at which the pilot pays back within 12 months</w:t>
            </w:r>
          </w:p>
        </w:tc>
      </w:tr>
      <w:tr>
        <w:tc>
          <w:tcPr>
            <w:tcW w:w="1502" w:type="dxa"/>
          </w:tcPr>
          <w:p>
            <w:pPr>
              <w:pStyle w:val="Compact"/>
            </w:pPr>
            <w:r>
              <w:rPr>
                <w:b/>
                <w:bCs/>
              </w:rPr>
              <w:t xml:space="preserve">21 / 22</w:t>
            </w:r>
          </w:p>
        </w:tc>
        <w:tc>
          <w:tcPr>
            <w:tcW w:w="8578" w:type="dxa"/>
          </w:tcPr>
          <w:p>
            <w:pPr>
              <w:pStyle w:val="Compact"/>
            </w:pPr>
            <w:r>
              <w:t xml:space="preserve">Labelled eval cases where the gate order alone gives the expected code; the miss needs reading, which is the agents’ job</w:t>
            </w:r>
          </w:p>
        </w:tc>
      </w:tr>
      <w:tr>
        <w:tc>
          <w:tcPr>
            <w:tcW w:w="1502" w:type="dxa"/>
          </w:tcPr>
          <w:p>
            <w:pPr>
              <w:pStyle w:val="Compact"/>
            </w:pPr>
            <w:r>
              <w:rPr>
                <w:b/>
                <w:bCs/>
              </w:rPr>
              <w:t xml:space="preserve">0</w:t>
            </w:r>
          </w:p>
        </w:tc>
        <w:tc>
          <w:tcPr>
            <w:tcW w:w="8578" w:type="dxa"/>
          </w:tcPr>
          <w:p>
            <w:pPr>
              <w:pStyle w:val="Compact"/>
            </w:pPr>
            <w:r>
              <w:t xml:space="preserve">Schema violations across 109 fixture records converted to the contract shape</w:t>
            </w:r>
          </w:p>
        </w:tc>
      </w:tr>
    </w:tbl>
    <w:p>
      <w:pPr>
        <w:pStyle w:val="BodyText"/>
      </w:pPr>
      <w:r>
        <w:t xml:space="preserve">All client data, people and dates belong to the synthetic capstone scenario. Hourly rates are illustrative.</w:t>
      </w:r>
    </w:p>
    <w:bookmarkEnd w:id="9"/>
    <w:bookmarkStart w:id="22" w:name="statement-of-work"/>
    <w:p>
      <w:pPr>
        <w:pStyle w:val="Heading1"/>
      </w:pPr>
      <w:r>
        <w:t xml:space="preserve">1 · Statement of Work</w:t>
      </w:r>
    </w:p>
    <w:p>
      <w:pPr>
        <w:pStyle w:val="FirstParagraph"/>
      </w:pPr>
      <w:r>
        <w:rPr>
          <w:b/>
          <w:bCs/>
        </w:rPr>
        <w:t xml:space="preserve">SOW-ASI-2026-01</w:t>
      </w:r>
      <w:r>
        <w:t xml:space="preserve"> </w:t>
      </w:r>
      <w:r>
        <w:t xml:space="preserve">· between AutoSure Insurance, Houston TX (</w:t>
      </w:r>
      <w:r>
        <w:t xml:space="preserve">“Client”</w:t>
      </w:r>
      <w:r>
        <w:t xml:space="preserve">) and the FDE engagement team (</w:t>
      </w:r>
      <w:r>
        <w:t xml:space="preserve">“Provider”</w:t>
      </w:r>
      <w:r>
        <w:t xml:space="preserve">)</w:t>
      </w:r>
      <w:r>
        <w:t xml:space="preserve"> </w:t>
      </w:r>
      <w:r>
        <w:t xml:space="preserve">Version 1.0 · 2026-10-08 · Governs under the Master Services Agreement dated 2026-09-15 · Inherits the Engagement Charter v1.1 (confirmed 2026-10-01)</w:t>
      </w:r>
    </w:p>
    <w:bookmarkStart w:id="10" w:name="purpose"/>
    <w:p>
      <w:pPr>
        <w:pStyle w:val="Heading2"/>
      </w:pPr>
      <w:r>
        <w:t xml:space="preserve">1. Purpose</w:t>
      </w:r>
    </w:p>
    <w:p>
      <w:pPr>
        <w:pStyle w:val="FirstParagraph"/>
      </w:pPr>
      <w:r>
        <w:t xml:space="preserve">Build and hand over a claims co-pilot that drafts a first-decision recommendation, with citations, for auto physical-damage claims. A licensed adjuster confirms every recommendation. The pilot shortens the time to a first decision and makes those decisions consistent, while leaving every client system unchanged.</w:t>
      </w:r>
    </w:p>
    <w:bookmarkEnd w:id="10"/>
    <w:bookmarkStart w:id="11" w:name="scope-in"/>
    <w:p>
      <w:pPr>
        <w:pStyle w:val="Heading2"/>
      </w:pPr>
      <w:r>
        <w:t xml:space="preserve">2. Scope: in</w:t>
      </w:r>
    </w:p>
    <w:tbl>
      <w:tblPr>
        <w:tblStyle w:val="Table"/>
        <w:tblW w:type="dxa" w:w="10080"/>
        <w:tblLayout w:type="fixed"/>
        <w:tblLook w:firstRow="1" w:lastRow="0" w:firstColumn="0" w:lastColumn="0" w:noHBand="0" w:noVBand="0" w:val="0020"/>
      </w:tblPr>
      <w:tblGrid>
        <w:gridCol w:w="489"/>
        <w:gridCol w:w="6818"/>
        <w:gridCol w:w="730"/>
        <w:gridCol w:w="2043"/>
      </w:tblGrid>
      <w:tr>
        <w:trPr>
          <w:tblHeader w:val="on"/>
        </w:trPr>
        <w:tc>
          <w:tcPr>
            <w:tcW w:w="489" w:type="dxa"/>
          </w:tcPr>
          <w:p>
            <w:pPr>
              <w:pStyle w:val="Compact"/>
            </w:pPr>
            <w:r>
              <w:t xml:space="preserve">#</w:t>
            </w:r>
          </w:p>
        </w:tc>
        <w:tc>
          <w:tcPr>
            <w:tcW w:w="6818" w:type="dxa"/>
          </w:tcPr>
          <w:p>
            <w:pPr>
              <w:pStyle w:val="Compact"/>
            </w:pPr>
            <w:r>
              <w:t xml:space="preserve">Deliverable</w:t>
            </w:r>
          </w:p>
        </w:tc>
        <w:tc>
          <w:tcPr>
            <w:tcW w:w="730" w:type="dxa"/>
          </w:tcPr>
          <w:p>
            <w:pPr>
              <w:pStyle w:val="Compact"/>
            </w:pPr>
            <w:r>
              <w:t xml:space="preserve">Week</w:t>
            </w:r>
          </w:p>
        </w:tc>
        <w:tc>
          <w:tcPr>
            <w:tcW w:w="2043" w:type="dxa"/>
          </w:tcPr>
          <w:p>
            <w:pPr>
              <w:pStyle w:val="Compact"/>
            </w:pPr>
            <w:r>
              <w:t xml:space="preserve">Acceptance criterion (see §4)</w:t>
            </w:r>
          </w:p>
        </w:tc>
      </w:tr>
      <w:tr>
        <w:tc>
          <w:tcPr>
            <w:tcW w:w="489" w:type="dxa"/>
          </w:tcPr>
          <w:p>
            <w:pPr>
              <w:pStyle w:val="Compact"/>
            </w:pPr>
            <w:r>
              <w:t xml:space="preserve">D1</w:t>
            </w:r>
          </w:p>
        </w:tc>
        <w:tc>
          <w:tcPr>
            <w:tcW w:w="6818" w:type="dxa"/>
          </w:tcPr>
          <w:p>
            <w:pPr>
              <w:pStyle w:val="Compact"/>
            </w:pPr>
            <w:r>
              <w:t xml:space="preserve">Architecture, MCP tool contract, risk register, pricing memo (this week’s pack)</w:t>
            </w:r>
          </w:p>
        </w:tc>
        <w:tc>
          <w:tcPr>
            <w:tcW w:w="730" w:type="dxa"/>
          </w:tcPr>
          <w:p>
            <w:pPr>
              <w:pStyle w:val="Compact"/>
            </w:pPr>
            <w:r>
              <w:t xml:space="preserve">W2</w:t>
            </w:r>
          </w:p>
        </w:tc>
        <w:tc>
          <w:tcPr>
            <w:tcW w:w="2043" w:type="dxa"/>
          </w:tcPr>
          <w:p>
            <w:pPr>
              <w:pStyle w:val="Compact"/>
            </w:pPr>
            <w:r>
              <w:t xml:space="preserve">AC-1</w:t>
            </w:r>
          </w:p>
        </w:tc>
      </w:tr>
      <w:tr>
        <w:tc>
          <w:tcPr>
            <w:tcW w:w="489" w:type="dxa"/>
          </w:tcPr>
          <w:p>
            <w:pPr>
              <w:pStyle w:val="Compact"/>
            </w:pPr>
            <w:r>
              <w:t xml:space="preserve">D2</w:t>
            </w:r>
          </w:p>
        </w:tc>
        <w:tc>
          <w:tcPr>
            <w:tcW w:w="6818" w:type="dxa"/>
          </w:tcPr>
          <w:p>
            <w:pPr>
              <w:pStyle w:val="Compact"/>
            </w:pPr>
            <w:r>
              <w:t xml:space="preserve">Four-agent pipeline (Document Intake → Coverage Check → Claim Assessment → Decision Draft) in containers, runnable with one</w:t>
            </w:r>
            <w:r>
              <w:t xml:space="preserve"> </w:t>
            </w:r>
            <w:r>
              <w:rPr>
                <w:rStyle w:val="VerbatimChar"/>
              </w:rPr>
              <w:t xml:space="preserve">docker compose up</w:t>
            </w:r>
          </w:p>
        </w:tc>
        <w:tc>
          <w:tcPr>
            <w:tcW w:w="730" w:type="dxa"/>
          </w:tcPr>
          <w:p>
            <w:pPr>
              <w:pStyle w:val="Compact"/>
            </w:pPr>
            <w:r>
              <w:t xml:space="preserve">W3</w:t>
            </w:r>
          </w:p>
        </w:tc>
        <w:tc>
          <w:tcPr>
            <w:tcW w:w="2043" w:type="dxa"/>
          </w:tcPr>
          <w:p>
            <w:pPr>
              <w:pStyle w:val="Compact"/>
            </w:pPr>
            <w:r>
              <w:t xml:space="preserve">AC-2, AC-3</w:t>
            </w:r>
          </w:p>
        </w:tc>
      </w:tr>
      <w:tr>
        <w:tc>
          <w:tcPr>
            <w:tcW w:w="489" w:type="dxa"/>
          </w:tcPr>
          <w:p>
            <w:pPr>
              <w:pStyle w:val="Compact"/>
            </w:pPr>
            <w:r>
              <w:t xml:space="preserve">D3</w:t>
            </w:r>
          </w:p>
        </w:tc>
        <w:tc>
          <w:tcPr>
            <w:tcW w:w="6818" w:type="dxa"/>
          </w:tcPr>
          <w:p>
            <w:pPr>
              <w:pStyle w:val="Compact"/>
            </w:pPr>
            <w:r>
              <w:t xml:space="preserve">Retrieval over the policy manual; every coverage statement cites a clause id</w:t>
            </w:r>
          </w:p>
        </w:tc>
        <w:tc>
          <w:tcPr>
            <w:tcW w:w="730" w:type="dxa"/>
          </w:tcPr>
          <w:p>
            <w:pPr>
              <w:pStyle w:val="Compact"/>
            </w:pPr>
            <w:r>
              <w:t xml:space="preserve">W3</w:t>
            </w:r>
          </w:p>
        </w:tc>
        <w:tc>
          <w:tcPr>
            <w:tcW w:w="2043" w:type="dxa"/>
          </w:tcPr>
          <w:p>
            <w:pPr>
              <w:pStyle w:val="Compact"/>
            </w:pPr>
            <w:r>
              <w:t xml:space="preserve">AC-4</w:t>
            </w:r>
          </w:p>
        </w:tc>
      </w:tr>
      <w:tr>
        <w:tc>
          <w:tcPr>
            <w:tcW w:w="489" w:type="dxa"/>
          </w:tcPr>
          <w:p>
            <w:pPr>
              <w:pStyle w:val="Compact"/>
            </w:pPr>
            <w:r>
              <w:t xml:space="preserve">D4</w:t>
            </w:r>
          </w:p>
        </w:tc>
        <w:tc>
          <w:tcPr>
            <w:tcW w:w="6818" w:type="dxa"/>
          </w:tcPr>
          <w:p>
            <w:pPr>
              <w:pStyle w:val="Compact"/>
            </w:pPr>
            <w:r>
              <w:t xml:space="preserve">CI pipeline: build → eval gate (≥ 85%) → image push to the Client’s ECR</w:t>
            </w:r>
          </w:p>
        </w:tc>
        <w:tc>
          <w:tcPr>
            <w:tcW w:w="730" w:type="dxa"/>
          </w:tcPr>
          <w:p>
            <w:pPr>
              <w:pStyle w:val="Compact"/>
            </w:pPr>
            <w:r>
              <w:t xml:space="preserve">W3</w:t>
            </w:r>
          </w:p>
        </w:tc>
        <w:tc>
          <w:tcPr>
            <w:tcW w:w="2043" w:type="dxa"/>
          </w:tcPr>
          <w:p>
            <w:pPr>
              <w:pStyle w:val="Compact"/>
            </w:pPr>
            <w:r>
              <w:t xml:space="preserve">AC-2</w:t>
            </w:r>
          </w:p>
        </w:tc>
      </w:tr>
      <w:tr>
        <w:tc>
          <w:tcPr>
            <w:tcW w:w="489" w:type="dxa"/>
          </w:tcPr>
          <w:p>
            <w:pPr>
              <w:pStyle w:val="Compact"/>
            </w:pPr>
            <w:r>
              <w:t xml:space="preserve">D5</w:t>
            </w:r>
          </w:p>
        </w:tc>
        <w:tc>
          <w:tcPr>
            <w:tcW w:w="6818" w:type="dxa"/>
          </w:tcPr>
          <w:p>
            <w:pPr>
              <w:pStyle w:val="Compact"/>
            </w:pPr>
            <w:r>
              <w:t xml:space="preserve">MCP integration server on AWS Lambda; JWT auth; RBAC for the four CMS groups; audit log</w:t>
            </w:r>
          </w:p>
        </w:tc>
        <w:tc>
          <w:tcPr>
            <w:tcW w:w="730" w:type="dxa"/>
          </w:tcPr>
          <w:p>
            <w:pPr>
              <w:pStyle w:val="Compact"/>
            </w:pPr>
            <w:r>
              <w:t xml:space="preserve">W4</w:t>
            </w:r>
          </w:p>
        </w:tc>
        <w:tc>
          <w:tcPr>
            <w:tcW w:w="2043" w:type="dxa"/>
          </w:tcPr>
          <w:p>
            <w:pPr>
              <w:pStyle w:val="Compact"/>
            </w:pPr>
            <w:r>
              <w:t xml:space="preserve">AC-5, AC-6</w:t>
            </w:r>
          </w:p>
        </w:tc>
      </w:tr>
      <w:tr>
        <w:tc>
          <w:tcPr>
            <w:tcW w:w="489" w:type="dxa"/>
          </w:tcPr>
          <w:p>
            <w:pPr>
              <w:pStyle w:val="Compact"/>
            </w:pPr>
            <w:r>
              <w:t xml:space="preserve">D6</w:t>
            </w:r>
          </w:p>
        </w:tc>
        <w:tc>
          <w:tcPr>
            <w:tcW w:w="6818" w:type="dxa"/>
          </w:tcPr>
          <w:p>
            <w:pPr>
              <w:pStyle w:val="Compact"/>
            </w:pPr>
            <w:r>
              <w:t xml:space="preserve">150-case evaluation suite including adversarial cases; gate green</w:t>
            </w:r>
          </w:p>
        </w:tc>
        <w:tc>
          <w:tcPr>
            <w:tcW w:w="730" w:type="dxa"/>
          </w:tcPr>
          <w:p>
            <w:pPr>
              <w:pStyle w:val="Compact"/>
            </w:pPr>
            <w:r>
              <w:t xml:space="preserve">W5</w:t>
            </w:r>
          </w:p>
        </w:tc>
        <w:tc>
          <w:tcPr>
            <w:tcW w:w="2043" w:type="dxa"/>
          </w:tcPr>
          <w:p>
            <w:pPr>
              <w:pStyle w:val="Compact"/>
            </w:pPr>
            <w:r>
              <w:t xml:space="preserve">AC-2, AC-7, AC-10</w:t>
            </w:r>
          </w:p>
        </w:tc>
      </w:tr>
      <w:tr>
        <w:tc>
          <w:tcPr>
            <w:tcW w:w="489" w:type="dxa"/>
          </w:tcPr>
          <w:p>
            <w:pPr>
              <w:pStyle w:val="Compact"/>
            </w:pPr>
            <w:r>
              <w:t xml:space="preserve">D7</w:t>
            </w:r>
          </w:p>
        </w:tc>
        <w:tc>
          <w:tcPr>
            <w:tcW w:w="6818" w:type="dxa"/>
          </w:tcPr>
          <w:p>
            <w:pPr>
              <w:pStyle w:val="Compact"/>
            </w:pPr>
            <w:r>
              <w:t xml:space="preserve">CloudWatch dashboard, one error-rate alarm, one rehearsed incident with written report</w:t>
            </w:r>
          </w:p>
        </w:tc>
        <w:tc>
          <w:tcPr>
            <w:tcW w:w="730" w:type="dxa"/>
          </w:tcPr>
          <w:p>
            <w:pPr>
              <w:pStyle w:val="Compact"/>
            </w:pPr>
            <w:r>
              <w:t xml:space="preserve">W5</w:t>
            </w:r>
          </w:p>
        </w:tc>
        <w:tc>
          <w:tcPr>
            <w:tcW w:w="2043" w:type="dxa"/>
          </w:tcPr>
          <w:p>
            <w:pPr>
              <w:pStyle w:val="Compact"/>
            </w:pPr>
            <w:r>
              <w:t xml:space="preserve">AC-8</w:t>
            </w:r>
          </w:p>
        </w:tc>
      </w:tr>
      <w:tr>
        <w:tc>
          <w:tcPr>
            <w:tcW w:w="489" w:type="dxa"/>
          </w:tcPr>
          <w:p>
            <w:pPr>
              <w:pStyle w:val="Compact"/>
            </w:pPr>
            <w:r>
              <w:t xml:space="preserve">D8</w:t>
            </w:r>
          </w:p>
        </w:tc>
        <w:tc>
          <w:tcPr>
            <w:tcW w:w="6818" w:type="dxa"/>
          </w:tcPr>
          <w:p>
            <w:pPr>
              <w:pStyle w:val="Compact"/>
            </w:pPr>
            <w:r>
              <w:t xml:space="preserve">Runbook (add user, roll back, escalate manually, update the policy corpus) and handover session</w:t>
            </w:r>
          </w:p>
        </w:tc>
        <w:tc>
          <w:tcPr>
            <w:tcW w:w="730" w:type="dxa"/>
          </w:tcPr>
          <w:p>
            <w:pPr>
              <w:pStyle w:val="Compact"/>
            </w:pPr>
            <w:r>
              <w:t xml:space="preserve">W5</w:t>
            </w:r>
          </w:p>
        </w:tc>
        <w:tc>
          <w:tcPr>
            <w:tcW w:w="2043" w:type="dxa"/>
          </w:tcPr>
          <w:p>
            <w:pPr>
              <w:pStyle w:val="Compact"/>
            </w:pPr>
            <w:r>
              <w:t xml:space="preserve">AC-9</w:t>
            </w:r>
          </w:p>
        </w:tc>
      </w:tr>
    </w:tbl>
    <w:bookmarkEnd w:id="11"/>
    <w:bookmarkStart w:id="12" w:name="scope-out"/>
    <w:p>
      <w:pPr>
        <w:pStyle w:val="Heading2"/>
      </w:pPr>
      <w:r>
        <w:t xml:space="preserve">3. Scope: out</w:t>
      </w:r>
    </w:p>
    <w:p>
      <w:pPr>
        <w:pStyle w:val="Compact"/>
        <w:numPr>
          <w:ilvl w:val="0"/>
          <w:numId w:val="1001"/>
        </w:numPr>
      </w:pPr>
      <w:r>
        <w:t xml:space="preserve">Any write to the CMS, the document store or policy admin. The pilot integration has no write tools (DEC-001, DEC-005).</w:t>
      </w:r>
    </w:p>
    <w:p>
      <w:pPr>
        <w:pStyle w:val="Compact"/>
        <w:numPr>
          <w:ilvl w:val="0"/>
          <w:numId w:val="1001"/>
        </w:numPr>
      </w:pPr>
      <w:r>
        <w:t xml:space="preserve">Liability claims. A first-party claim on a liability-only policy is in scope only as a recommended denial.</w:t>
      </w:r>
    </w:p>
    <w:p>
      <w:pPr>
        <w:pStyle w:val="Compact"/>
        <w:numPr>
          <w:ilvl w:val="0"/>
          <w:numId w:val="1001"/>
        </w:numPr>
      </w:pPr>
      <w:r>
        <w:t xml:space="preserve">Building or retraining a fraud model. The vendor score is treated as an input.</w:t>
      </w:r>
    </w:p>
    <w:p>
      <w:pPr>
        <w:pStyle w:val="Compact"/>
        <w:numPr>
          <w:ilvl w:val="0"/>
          <w:numId w:val="1001"/>
        </w:numPr>
      </w:pPr>
      <w:r>
        <w:t xml:space="preserve">Rental reimbursement adjudication (Q-07, closed as out of scope).</w:t>
      </w:r>
    </w:p>
    <w:p>
      <w:pPr>
        <w:pStyle w:val="Compact"/>
        <w:numPr>
          <w:ilvl w:val="0"/>
          <w:numId w:val="1001"/>
        </w:numPr>
      </w:pPr>
      <w:r>
        <w:t xml:space="preserve">Production claimant data, which stays out until the DPA is signed (§6).</w:t>
      </w:r>
    </w:p>
    <w:p>
      <w:pPr>
        <w:pStyle w:val="Compact"/>
        <w:numPr>
          <w:ilvl w:val="0"/>
          <w:numId w:val="1001"/>
        </w:numPr>
      </w:pPr>
      <w:r>
        <w:t xml:space="preserve">Payment execution, subrogation, salvage, reserving.</w:t>
      </w:r>
    </w:p>
    <w:p>
      <w:pPr>
        <w:pStyle w:val="Compact"/>
        <w:numPr>
          <w:ilvl w:val="0"/>
          <w:numId w:val="1001"/>
        </w:numPr>
      </w:pPr>
      <w:r>
        <w:t xml:space="preserve">Production cut-over. The handover includes the cut-over checklist but not the cut-over itself.</w:t>
      </w:r>
    </w:p>
    <w:p>
      <w:pPr>
        <w:pStyle w:val="FirstParagraph"/>
      </w:pPr>
      <w:r>
        <w:t xml:space="preserve">Anything not listed in §2 is out of scope. A change goes through §8.</w:t>
      </w:r>
    </w:p>
    <w:bookmarkEnd w:id="12"/>
    <w:bookmarkStart w:id="13" w:name="acceptance-criteria"/>
    <w:p>
      <w:pPr>
        <w:pStyle w:val="Heading2"/>
      </w:pPr>
      <w:r>
        <w:t xml:space="preserve">4. Acceptance criteria</w:t>
      </w:r>
    </w:p>
    <w:p>
      <w:pPr>
        <w:pStyle w:val="FirstParagraph"/>
      </w:pPr>
      <w:r>
        <w:t xml:space="preserve">The Client accepts a deliverable when it meets its criterion, demonstrated live or from CI logs. Criteria come from the Charter’s success criteria, measured on the evaluation set owned by Bob Reyes (DEC-006).</w:t>
      </w:r>
    </w:p>
    <w:tbl>
      <w:tblPr>
        <w:tblStyle w:val="Table"/>
        <w:tblW w:type="dxa" w:w="10080"/>
        <w:tblLayout w:type="fixed"/>
        <w:tblLook w:firstRow="1" w:lastRow="0" w:firstColumn="0" w:lastColumn="0" w:noHBand="0" w:noVBand="0" w:val="0020"/>
      </w:tblPr>
      <w:tblGrid>
        <w:gridCol w:w="761"/>
        <w:gridCol w:w="2251"/>
        <w:gridCol w:w="2509"/>
        <w:gridCol w:w="3275"/>
        <w:gridCol w:w="1284"/>
      </w:tblGrid>
      <w:tr>
        <w:trPr>
          <w:tblHeader w:val="on"/>
        </w:trPr>
        <w:tc>
          <w:tcPr>
            <w:tcW w:w="761" w:type="dxa"/>
          </w:tcPr>
          <w:p>
            <w:pPr>
              <w:pStyle w:val="Compact"/>
            </w:pPr>
            <w:r>
              <w:t xml:space="preserve">ID</w:t>
            </w:r>
          </w:p>
        </w:tc>
        <w:tc>
          <w:tcPr>
            <w:tcW w:w="2251" w:type="dxa"/>
          </w:tcPr>
          <w:p>
            <w:pPr>
              <w:pStyle w:val="Compact"/>
            </w:pPr>
            <w:r>
              <w:t xml:space="preserve">Criterion</w:t>
            </w:r>
          </w:p>
        </w:tc>
        <w:tc>
          <w:tcPr>
            <w:tcW w:w="2509" w:type="dxa"/>
          </w:tcPr>
          <w:p>
            <w:pPr>
              <w:pStyle w:val="Compact"/>
            </w:pPr>
            <w:r>
              <w:t xml:space="preserve">Measured on</w:t>
            </w:r>
          </w:p>
        </w:tc>
        <w:tc>
          <w:tcPr>
            <w:tcW w:w="3275" w:type="dxa"/>
          </w:tcPr>
          <w:p>
            <w:pPr>
              <w:pStyle w:val="Compact"/>
            </w:pPr>
            <w:r>
              <w:t xml:space="preserve">Threshold</w:t>
            </w:r>
          </w:p>
        </w:tc>
        <w:tc>
          <w:tcPr>
            <w:tcW w:w="1284" w:type="dxa"/>
          </w:tcPr>
          <w:p>
            <w:pPr>
              <w:pStyle w:val="Compact"/>
            </w:pPr>
            <w:r>
              <w:t xml:space="preserve">Charter criterion</w:t>
            </w:r>
          </w:p>
        </w:tc>
      </w:tr>
      <w:tr>
        <w:tc>
          <w:tcPr>
            <w:tcW w:w="761" w:type="dxa"/>
          </w:tcPr>
          <w:p>
            <w:pPr>
              <w:pStyle w:val="Compact"/>
            </w:pPr>
            <w:r>
              <w:t xml:space="preserve">AC-1</w:t>
            </w:r>
          </w:p>
        </w:tc>
        <w:tc>
          <w:tcPr>
            <w:tcW w:w="2251" w:type="dxa"/>
          </w:tcPr>
          <w:p>
            <w:pPr>
              <w:pStyle w:val="Compact"/>
            </w:pPr>
            <w:r>
              <w:t xml:space="preserve">Architecture approved by Security; tool contract approved by IT</w:t>
            </w:r>
          </w:p>
        </w:tc>
        <w:tc>
          <w:tcPr>
            <w:tcW w:w="2509" w:type="dxa"/>
          </w:tcPr>
          <w:p>
            <w:pPr>
              <w:pStyle w:val="Compact"/>
            </w:pPr>
            <w:r>
              <w:t xml:space="preserve">Sign-off in the W2 review</w:t>
            </w:r>
          </w:p>
        </w:tc>
        <w:tc>
          <w:tcPr>
            <w:tcW w:w="3275" w:type="dxa"/>
          </w:tcPr>
          <w:p>
            <w:pPr>
              <w:pStyle w:val="Compact"/>
            </w:pPr>
            <w:r>
              <w:t xml:space="preserve">Both signed</w:t>
            </w:r>
          </w:p>
        </w:tc>
        <w:tc>
          <w:tcPr>
            <w:tcW w:w="1284" w:type="dxa"/>
          </w:tcPr>
          <w:p>
            <w:pPr>
              <w:pStyle w:val="Compact"/>
            </w:pPr>
            <w:r>
              <w:t xml:space="preserve">delivery gate</w:t>
            </w:r>
          </w:p>
        </w:tc>
      </w:tr>
      <w:tr>
        <w:tc>
          <w:tcPr>
            <w:tcW w:w="761" w:type="dxa"/>
          </w:tcPr>
          <w:p>
            <w:pPr>
              <w:pStyle w:val="Compact"/>
            </w:pPr>
            <w:r>
              <w:t xml:space="preserve">AC-2</w:t>
            </w:r>
          </w:p>
        </w:tc>
        <w:tc>
          <w:tcPr>
            <w:tcW w:w="2251" w:type="dxa"/>
          </w:tcPr>
          <w:p>
            <w:pPr>
              <w:pStyle w:val="Compact"/>
            </w:pPr>
            <w:r>
              <w:t xml:space="preserve">Eval gate, including exact figures</w:t>
            </w:r>
          </w:p>
        </w:tc>
        <w:tc>
          <w:tcPr>
            <w:tcW w:w="2509" w:type="dxa"/>
          </w:tcPr>
          <w:p>
            <w:pPr>
              <w:pStyle w:val="Compact"/>
            </w:pPr>
            <w:r>
              <w:t xml:space="preserve">Full suite in CI</w:t>
            </w:r>
          </w:p>
        </w:tc>
        <w:tc>
          <w:tcPr>
            <w:tcW w:w="3275" w:type="dxa"/>
          </w:tcPr>
          <w:p>
            <w:pPr>
              <w:pStyle w:val="Compact"/>
            </w:pPr>
            <w:r>
              <w:t xml:space="preserve">≥ 85% overall; ≥ 90% clear; ≥ 75% edge; net payable and TL ratio equal the deterministic computation in 100% of cases</w:t>
            </w:r>
          </w:p>
        </w:tc>
        <w:tc>
          <w:tcPr>
            <w:tcW w:w="1284" w:type="dxa"/>
          </w:tcPr>
          <w:p>
            <w:pPr>
              <w:pStyle w:val="Compact"/>
            </w:pPr>
            <w:r>
              <w:t xml:space="preserve">2, 6</w:t>
            </w:r>
          </w:p>
        </w:tc>
      </w:tr>
      <w:tr>
        <w:tc>
          <w:tcPr>
            <w:tcW w:w="761" w:type="dxa"/>
          </w:tcPr>
          <w:p>
            <w:pPr>
              <w:pStyle w:val="Compact"/>
            </w:pPr>
            <w:r>
              <w:t xml:space="preserve">AC-3</w:t>
            </w:r>
          </w:p>
        </w:tc>
        <w:tc>
          <w:tcPr>
            <w:tcW w:w="2251" w:type="dxa"/>
          </w:tcPr>
          <w:p>
            <w:pPr>
              <w:pStyle w:val="Compact"/>
            </w:pPr>
            <w:r>
              <w:t xml:space="preserve">Four claim types return the expected first decision, including fraud routing</w:t>
            </w:r>
          </w:p>
        </w:tc>
        <w:tc>
          <w:tcPr>
            <w:tcW w:w="2509" w:type="dxa"/>
          </w:tcPr>
          <w:p>
            <w:pPr>
              <w:pStyle w:val="Compact"/>
            </w:pPr>
            <w:r>
              <w:t xml:space="preserve">W1-A/D/F/R cases</w:t>
            </w:r>
          </w:p>
        </w:tc>
        <w:tc>
          <w:tcPr>
            <w:tcW w:w="3275" w:type="dxa"/>
          </w:tcPr>
          <w:p>
            <w:pPr>
              <w:pStyle w:val="Compact"/>
            </w:pPr>
            <w:r>
              <w:t xml:space="preserve">4 of 4 types; score ≥ 0.70 routed to SIU in 100%, approved in 0%</w:t>
            </w:r>
          </w:p>
        </w:tc>
        <w:tc>
          <w:tcPr>
            <w:tcW w:w="1284" w:type="dxa"/>
          </w:tcPr>
          <w:p>
            <w:pPr>
              <w:pStyle w:val="Compact"/>
            </w:pPr>
            <w:r>
              <w:t xml:space="preserve">2, 3</w:t>
            </w:r>
          </w:p>
        </w:tc>
      </w:tr>
      <w:tr>
        <w:tc>
          <w:tcPr>
            <w:tcW w:w="761" w:type="dxa"/>
          </w:tcPr>
          <w:p>
            <w:pPr>
              <w:pStyle w:val="Compact"/>
            </w:pPr>
            <w:r>
              <w:t xml:space="preserve">AC-4</w:t>
            </w:r>
          </w:p>
        </w:tc>
        <w:tc>
          <w:tcPr>
            <w:tcW w:w="2251" w:type="dxa"/>
          </w:tcPr>
          <w:p>
            <w:pPr>
              <w:pStyle w:val="Compact"/>
            </w:pPr>
            <w:r>
              <w:t xml:space="preserve">Coverage grounding</w:t>
            </w:r>
          </w:p>
        </w:tc>
        <w:tc>
          <w:tcPr>
            <w:tcW w:w="2509" w:type="dxa"/>
          </w:tcPr>
          <w:p>
            <w:pPr>
              <w:pStyle w:val="Compact"/>
            </w:pPr>
            <w:r>
              <w:t xml:space="preserve">Every coverage statement across the suite</w:t>
            </w:r>
          </w:p>
        </w:tc>
        <w:tc>
          <w:tcPr>
            <w:tcW w:w="3275" w:type="dxa"/>
          </w:tcPr>
          <w:p>
            <w:pPr>
              <w:pStyle w:val="Compact"/>
            </w:pPr>
            <w:r>
              <w:t xml:space="preserve">100% cite a retrieved clause id; 0 citations from outside retrieval</w:t>
            </w:r>
          </w:p>
        </w:tc>
        <w:tc>
          <w:tcPr>
            <w:tcW w:w="1284" w:type="dxa"/>
          </w:tcPr>
          <w:p>
            <w:pPr>
              <w:pStyle w:val="Compact"/>
            </w:pPr>
            <w:r>
              <w:t xml:space="preserve">4</w:t>
            </w:r>
          </w:p>
        </w:tc>
      </w:tr>
      <w:tr>
        <w:tc>
          <w:tcPr>
            <w:tcW w:w="761" w:type="dxa"/>
          </w:tcPr>
          <w:p>
            <w:pPr>
              <w:pStyle w:val="Compact"/>
            </w:pPr>
            <w:r>
              <w:t xml:space="preserve">AC-5</w:t>
            </w:r>
          </w:p>
        </w:tc>
        <w:tc>
          <w:tcPr>
            <w:tcW w:w="2251" w:type="dxa"/>
          </w:tcPr>
          <w:p>
            <w:pPr>
              <w:pStyle w:val="Compact"/>
            </w:pPr>
            <w:r>
              <w:t xml:space="preserve">Two-user RBAC test</w:t>
            </w:r>
          </w:p>
        </w:tc>
        <w:tc>
          <w:tcPr>
            <w:tcW w:w="2509" w:type="dxa"/>
          </w:tcPr>
          <w:p>
            <w:pPr>
              <w:pStyle w:val="Compact"/>
            </w:pPr>
            <w:r>
              <w:t xml:space="preserve">Alice (adjuster) and Bob (senior) request the same unassigned claim</w:t>
            </w:r>
          </w:p>
        </w:tc>
        <w:tc>
          <w:tcPr>
            <w:tcW w:w="3275" w:type="dxa"/>
          </w:tcPr>
          <w:p>
            <w:pPr>
              <w:pStyle w:val="Compact"/>
            </w:pPr>
            <w:r>
              <w:t xml:space="preserve">Alice 403, Bob 200</w:t>
            </w:r>
          </w:p>
        </w:tc>
        <w:tc>
          <w:tcPr>
            <w:tcW w:w="1284" w:type="dxa"/>
          </w:tcPr>
          <w:p>
            <w:pPr>
              <w:pStyle w:val="Compact"/>
            </w:pPr>
            <w:r>
              <w:t xml:space="preserve">7</w:t>
            </w:r>
          </w:p>
        </w:tc>
      </w:tr>
      <w:tr>
        <w:tc>
          <w:tcPr>
            <w:tcW w:w="761" w:type="dxa"/>
          </w:tcPr>
          <w:p>
            <w:pPr>
              <w:pStyle w:val="Compact"/>
            </w:pPr>
            <w:r>
              <w:t xml:space="preserve">AC-6</w:t>
            </w:r>
          </w:p>
        </w:tc>
        <w:tc>
          <w:tcPr>
            <w:tcW w:w="2251" w:type="dxa"/>
          </w:tcPr>
          <w:p>
            <w:pPr>
              <w:pStyle w:val="Compact"/>
            </w:pPr>
            <w:r>
              <w:t xml:space="preserve">Audit trail</w:t>
            </w:r>
          </w:p>
        </w:tc>
        <w:tc>
          <w:tcPr>
            <w:tcW w:w="2509" w:type="dxa"/>
          </w:tcPr>
          <w:p>
            <w:pPr>
              <w:pStyle w:val="Compact"/>
            </w:pPr>
            <w:r>
              <w:t xml:space="preserve">Every MCP call during the AC-5 test</w:t>
            </w:r>
          </w:p>
        </w:tc>
        <w:tc>
          <w:tcPr>
            <w:tcW w:w="3275" w:type="dxa"/>
          </w:tcPr>
          <w:p>
            <w:pPr>
              <w:pStyle w:val="Compact"/>
            </w:pPr>
            <w:r>
              <w:t xml:space="preserve">100% logged with user id, action, resource id, result</w:t>
            </w:r>
          </w:p>
        </w:tc>
        <w:tc>
          <w:tcPr>
            <w:tcW w:w="1284" w:type="dxa"/>
          </w:tcPr>
          <w:p>
            <w:pPr>
              <w:pStyle w:val="Compact"/>
            </w:pPr>
            <w:r>
              <w:t xml:space="preserve">delivery gate</w:t>
            </w:r>
          </w:p>
        </w:tc>
      </w:tr>
      <w:tr>
        <w:tc>
          <w:tcPr>
            <w:tcW w:w="761" w:type="dxa"/>
          </w:tcPr>
          <w:p>
            <w:pPr>
              <w:pStyle w:val="Compact"/>
            </w:pPr>
            <w:r>
              <w:t xml:space="preserve">AC-7</w:t>
            </w:r>
          </w:p>
        </w:tc>
        <w:tc>
          <w:tcPr>
            <w:tcW w:w="2251" w:type="dxa"/>
          </w:tcPr>
          <w:p>
            <w:pPr>
              <w:pStyle w:val="Compact"/>
            </w:pPr>
            <w:r>
              <w:t xml:space="preserve">Safety and the human gate</w:t>
            </w:r>
          </w:p>
        </w:tc>
        <w:tc>
          <w:tcPr>
            <w:tcW w:w="2509" w:type="dxa"/>
          </w:tcPr>
          <w:p>
            <w:pPr>
              <w:pStyle w:val="Compact"/>
            </w:pPr>
            <w:r>
              <w:t xml:space="preserve">Adversarial slice (injection, forced auto-decision, leakage); every card</w:t>
            </w:r>
          </w:p>
        </w:tc>
        <w:tc>
          <w:tcPr>
            <w:tcW w:w="3275" w:type="dxa"/>
          </w:tcPr>
          <w:p>
            <w:pPr>
              <w:pStyle w:val="Compact"/>
            </w:pPr>
            <w:r>
              <w:t xml:space="preserve">100% adversarial pass; 0 false approves; confirmation line on 100% of cards; 0 system-initiated state changes</w:t>
            </w:r>
          </w:p>
        </w:tc>
        <w:tc>
          <w:tcPr>
            <w:tcW w:w="1284" w:type="dxa"/>
          </w:tcPr>
          <w:p>
            <w:pPr>
              <w:pStyle w:val="Compact"/>
            </w:pPr>
            <w:r>
              <w:t xml:space="preserve">5, 8</w:t>
            </w:r>
          </w:p>
        </w:tc>
      </w:tr>
      <w:tr>
        <w:tc>
          <w:tcPr>
            <w:tcW w:w="761" w:type="dxa"/>
          </w:tcPr>
          <w:p>
            <w:pPr>
              <w:pStyle w:val="Compact"/>
            </w:pPr>
            <w:r>
              <w:t xml:space="preserve">AC-8</w:t>
            </w:r>
          </w:p>
        </w:tc>
        <w:tc>
          <w:tcPr>
            <w:tcW w:w="2251" w:type="dxa"/>
          </w:tcPr>
          <w:p>
            <w:pPr>
              <w:pStyle w:val="Compact"/>
            </w:pPr>
            <w:r>
              <w:t xml:space="preserve">Operability</w:t>
            </w:r>
          </w:p>
        </w:tc>
        <w:tc>
          <w:tcPr>
            <w:tcW w:w="2509" w:type="dxa"/>
          </w:tcPr>
          <w:p>
            <w:pPr>
              <w:pStyle w:val="Compact"/>
            </w:pPr>
            <w:r>
              <w:t xml:space="preserve">Incident drill</w:t>
            </w:r>
          </w:p>
        </w:tc>
        <w:tc>
          <w:tcPr>
            <w:tcW w:w="3275" w:type="dxa"/>
          </w:tcPr>
          <w:p>
            <w:pPr>
              <w:pStyle w:val="Compact"/>
            </w:pPr>
            <w:r>
              <w:t xml:space="preserve">Error shown on the dashboard, rollback completed, report filed</w:t>
            </w:r>
          </w:p>
        </w:tc>
        <w:tc>
          <w:tcPr>
            <w:tcW w:w="1284" w:type="dxa"/>
          </w:tcPr>
          <w:p>
            <w:pPr>
              <w:pStyle w:val="Compact"/>
            </w:pPr>
            <w:r>
              <w:t xml:space="preserve">delivery gate</w:t>
            </w:r>
          </w:p>
        </w:tc>
      </w:tr>
      <w:tr>
        <w:tc>
          <w:tcPr>
            <w:tcW w:w="761" w:type="dxa"/>
          </w:tcPr>
          <w:p>
            <w:pPr>
              <w:pStyle w:val="Compact"/>
            </w:pPr>
            <w:r>
              <w:t xml:space="preserve">AC-9</w:t>
            </w:r>
          </w:p>
        </w:tc>
        <w:tc>
          <w:tcPr>
            <w:tcW w:w="2251" w:type="dxa"/>
          </w:tcPr>
          <w:p>
            <w:pPr>
              <w:pStyle w:val="Compact"/>
            </w:pPr>
            <w:r>
              <w:t xml:space="preserve">Handover</w:t>
            </w:r>
          </w:p>
        </w:tc>
        <w:tc>
          <w:tcPr>
            <w:tcW w:w="2509" w:type="dxa"/>
          </w:tcPr>
          <w:p>
            <w:pPr>
              <w:pStyle w:val="Compact"/>
            </w:pPr>
            <w:r>
              <w:t xml:space="preserve">Runbook walk-through with IT</w:t>
            </w:r>
          </w:p>
        </w:tc>
        <w:tc>
          <w:tcPr>
            <w:tcW w:w="3275" w:type="dxa"/>
          </w:tcPr>
          <w:p>
            <w:pPr>
              <w:pStyle w:val="Compact"/>
            </w:pPr>
            <w:r>
              <w:t xml:space="preserve">All four procedures executed once by Client staff</w:t>
            </w:r>
          </w:p>
        </w:tc>
        <w:tc>
          <w:tcPr>
            <w:tcW w:w="1284" w:type="dxa"/>
          </w:tcPr>
          <w:p>
            <w:pPr>
              <w:pStyle w:val="Compact"/>
            </w:pPr>
            <w:r>
              <w:t xml:space="preserve">delivery gate</w:t>
            </w:r>
          </w:p>
        </w:tc>
      </w:tr>
      <w:tr>
        <w:tc>
          <w:tcPr>
            <w:tcW w:w="761" w:type="dxa"/>
          </w:tcPr>
          <w:p>
            <w:pPr>
              <w:pStyle w:val="Compact"/>
            </w:pPr>
            <w:r>
              <w:t xml:space="preserve">AC-10</w:t>
            </w:r>
          </w:p>
        </w:tc>
        <w:tc>
          <w:tcPr>
            <w:tcW w:w="2251" w:type="dxa"/>
          </w:tcPr>
          <w:p>
            <w:pPr>
              <w:pStyle w:val="Compact"/>
            </w:pPr>
            <w:r>
              <w:t xml:space="preserve">Latency</w:t>
            </w:r>
          </w:p>
        </w:tc>
        <w:tc>
          <w:tcPr>
            <w:tcW w:w="2509" w:type="dxa"/>
          </w:tcPr>
          <w:p>
            <w:pPr>
              <w:pStyle w:val="Compact"/>
            </w:pPr>
            <w:r>
              <w:t xml:space="preserve">Claim selected → card shown, full suite, 3 runs</w:t>
            </w:r>
          </w:p>
        </w:tc>
        <w:tc>
          <w:tcPr>
            <w:tcW w:w="3275" w:type="dxa"/>
          </w:tcPr>
          <w:p>
            <w:pPr>
              <w:pStyle w:val="Compact"/>
            </w:pPr>
            <w:r>
              <w:t xml:space="preserve">p95 &lt; 90 s</w:t>
            </w:r>
          </w:p>
        </w:tc>
        <w:tc>
          <w:tcPr>
            <w:tcW w:w="1284" w:type="dxa"/>
          </w:tcPr>
          <w:p>
            <w:pPr>
              <w:pStyle w:val="Compact"/>
            </w:pPr>
            <w:r>
              <w:t xml:space="preserve">1</w:t>
            </w:r>
          </w:p>
        </w:tc>
      </w:tr>
    </w:tbl>
    <w:p>
      <w:pPr>
        <w:pStyle w:val="BodyText"/>
      </w:pPr>
      <w:r>
        <w:t xml:space="preserve">The Client signs, or lists specific failed criteria, within</w:t>
      </w:r>
      <w:r>
        <w:t xml:space="preserve"> </w:t>
      </w:r>
      <w:r>
        <w:rPr>
          <w:b/>
          <w:bCs/>
        </w:rPr>
        <w:t xml:space="preserve">3 business days</w:t>
      </w:r>
      <w:r>
        <w:t xml:space="preserve"> </w:t>
      </w:r>
      <w:r>
        <w:t xml:space="preserve">of a demonstration. If the Client does neither, the deliverable is accepted. A failed criterion is re-demonstrated once at no charge.</w:t>
      </w:r>
    </w:p>
    <w:bookmarkEnd w:id="13"/>
    <w:bookmarkStart w:id="14" w:name="timeline"/>
    <w:p>
      <w:pPr>
        <w:pStyle w:val="Heading2"/>
      </w:pPr>
      <w:r>
        <w:t xml:space="preserve">5. Timeline</w:t>
      </w:r>
    </w:p>
    <w:tbl>
      <w:tblPr>
        <w:tblStyle w:val="Table"/>
        <w:tblW w:type="dxa" w:w="10080"/>
        <w:tblLayout w:type="fixed"/>
        <w:tblLook w:firstRow="1" w:lastRow="0" w:firstColumn="0" w:lastColumn="0" w:noHBand="0" w:noVBand="0" w:val="0020"/>
      </w:tblPr>
      <w:tblGrid>
        <w:gridCol w:w="826"/>
        <w:gridCol w:w="1935"/>
        <w:gridCol w:w="3511"/>
        <w:gridCol w:w="3808"/>
      </w:tblGrid>
      <w:tr>
        <w:trPr>
          <w:tblHeader w:val="on"/>
        </w:trPr>
        <w:tc>
          <w:tcPr>
            <w:tcW w:w="826" w:type="dxa"/>
          </w:tcPr>
          <w:p>
            <w:pPr>
              <w:pStyle w:val="Compact"/>
            </w:pPr>
            <w:r>
              <w:t xml:space="preserve">Week</w:t>
            </w:r>
          </w:p>
        </w:tc>
        <w:tc>
          <w:tcPr>
            <w:tcW w:w="1935" w:type="dxa"/>
          </w:tcPr>
          <w:p>
            <w:pPr>
              <w:pStyle w:val="Compact"/>
            </w:pPr>
            <w:r>
              <w:t xml:space="preserve">Dates (2026)</w:t>
            </w:r>
          </w:p>
        </w:tc>
        <w:tc>
          <w:tcPr>
            <w:tcW w:w="3511" w:type="dxa"/>
          </w:tcPr>
          <w:p>
            <w:pPr>
              <w:pStyle w:val="Compact"/>
            </w:pPr>
            <w:r>
              <w:t xml:space="preserve">Milestone</w:t>
            </w:r>
          </w:p>
        </w:tc>
        <w:tc>
          <w:tcPr>
            <w:tcW w:w="3808" w:type="dxa"/>
          </w:tcPr>
          <w:p>
            <w:pPr>
              <w:pStyle w:val="Compact"/>
            </w:pPr>
            <w:r>
              <w:t xml:space="preserve">Gate</w:t>
            </w:r>
          </w:p>
        </w:tc>
      </w:tr>
      <w:tr>
        <w:tc>
          <w:tcPr>
            <w:tcW w:w="826" w:type="dxa"/>
          </w:tcPr>
          <w:p>
            <w:pPr>
              <w:pStyle w:val="Compact"/>
            </w:pPr>
            <w:r>
              <w:t xml:space="preserve">W2</w:t>
            </w:r>
          </w:p>
        </w:tc>
        <w:tc>
          <w:tcPr>
            <w:tcW w:w="1935" w:type="dxa"/>
          </w:tcPr>
          <w:p>
            <w:pPr>
              <w:pStyle w:val="Compact"/>
            </w:pPr>
            <w:r>
              <w:t xml:space="preserve">Oct 5 – Oct 9</w:t>
            </w:r>
          </w:p>
        </w:tc>
        <w:tc>
          <w:tcPr>
            <w:tcW w:w="3511" w:type="dxa"/>
          </w:tcPr>
          <w:p>
            <w:pPr>
              <w:pStyle w:val="Compact"/>
            </w:pPr>
            <w:r>
              <w:t xml:space="preserve">SoW, pricing, architecture</w:t>
            </w:r>
          </w:p>
        </w:tc>
        <w:tc>
          <w:tcPr>
            <w:tcW w:w="3808" w:type="dxa"/>
          </w:tcPr>
          <w:p>
            <w:pPr>
              <w:pStyle w:val="Compact"/>
            </w:pPr>
            <w:r>
              <w:t xml:space="preserve">SoW signed; AC-1</w:t>
            </w:r>
          </w:p>
        </w:tc>
      </w:tr>
      <w:tr>
        <w:tc>
          <w:tcPr>
            <w:tcW w:w="826" w:type="dxa"/>
          </w:tcPr>
          <w:p>
            <w:pPr>
              <w:pStyle w:val="Compact"/>
            </w:pPr>
            <w:r>
              <w:t xml:space="preserve">W3</w:t>
            </w:r>
          </w:p>
        </w:tc>
        <w:tc>
          <w:tcPr>
            <w:tcW w:w="1935" w:type="dxa"/>
          </w:tcPr>
          <w:p>
            <w:pPr>
              <w:pStyle w:val="Compact"/>
            </w:pPr>
            <w:r>
              <w:t xml:space="preserve">Oct 12 – Oct 16</w:t>
            </w:r>
          </w:p>
        </w:tc>
        <w:tc>
          <w:tcPr>
            <w:tcW w:w="3511" w:type="dxa"/>
          </w:tcPr>
          <w:p>
            <w:pPr>
              <w:pStyle w:val="Compact"/>
            </w:pPr>
            <w:r>
              <w:t xml:space="preserve">Production agents</w:t>
            </w:r>
          </w:p>
        </w:tc>
        <w:tc>
          <w:tcPr>
            <w:tcW w:w="3808" w:type="dxa"/>
          </w:tcPr>
          <w:p>
            <w:pPr>
              <w:pStyle w:val="Compact"/>
            </w:pPr>
            <w:r>
              <w:t xml:space="preserve">AC-2, AC-3, AC-4, AC-10 on the 22-case set</w:t>
            </w:r>
          </w:p>
        </w:tc>
      </w:tr>
      <w:tr>
        <w:tc>
          <w:tcPr>
            <w:tcW w:w="826" w:type="dxa"/>
          </w:tcPr>
          <w:p>
            <w:pPr>
              <w:pStyle w:val="Compact"/>
            </w:pPr>
            <w:r>
              <w:t xml:space="preserve">W4</w:t>
            </w:r>
          </w:p>
        </w:tc>
        <w:tc>
          <w:tcPr>
            <w:tcW w:w="1935" w:type="dxa"/>
          </w:tcPr>
          <w:p>
            <w:pPr>
              <w:pStyle w:val="Compact"/>
            </w:pPr>
            <w:r>
              <w:t xml:space="preserve">Oct 19 – Oct 23</w:t>
            </w:r>
          </w:p>
        </w:tc>
        <w:tc>
          <w:tcPr>
            <w:tcW w:w="3511" w:type="dxa"/>
          </w:tcPr>
          <w:p>
            <w:pPr>
              <w:pStyle w:val="Compact"/>
            </w:pPr>
            <w:r>
              <w:t xml:space="preserve">Integration, MCP, RBAC</w:t>
            </w:r>
          </w:p>
        </w:tc>
        <w:tc>
          <w:tcPr>
            <w:tcW w:w="3808" w:type="dxa"/>
          </w:tcPr>
          <w:p>
            <w:pPr>
              <w:pStyle w:val="Compact"/>
            </w:pPr>
            <w:r>
              <w:t xml:space="preserve">AC-5, AC-6</w:t>
            </w:r>
          </w:p>
        </w:tc>
      </w:tr>
      <w:tr>
        <w:tc>
          <w:tcPr>
            <w:tcW w:w="826" w:type="dxa"/>
          </w:tcPr>
          <w:p>
            <w:pPr>
              <w:pStyle w:val="Compact"/>
            </w:pPr>
            <w:r>
              <w:t xml:space="preserve">W5</w:t>
            </w:r>
          </w:p>
        </w:tc>
        <w:tc>
          <w:tcPr>
            <w:tcW w:w="1935" w:type="dxa"/>
          </w:tcPr>
          <w:p>
            <w:pPr>
              <w:pStyle w:val="Compact"/>
            </w:pPr>
            <w:r>
              <w:t xml:space="preserve">Oct 26 – Oct 30</w:t>
            </w:r>
          </w:p>
        </w:tc>
        <w:tc>
          <w:tcPr>
            <w:tcW w:w="3511" w:type="dxa"/>
          </w:tcPr>
          <w:p>
            <w:pPr>
              <w:pStyle w:val="Compact"/>
            </w:pPr>
            <w:r>
              <w:t xml:space="preserve">Evals, observability, handover</w:t>
            </w:r>
          </w:p>
        </w:tc>
        <w:tc>
          <w:tcPr>
            <w:tcW w:w="3808" w:type="dxa"/>
          </w:tcPr>
          <w:p>
            <w:pPr>
              <w:pStyle w:val="Compact"/>
            </w:pPr>
            <w:r>
              <w:t xml:space="preserve">AC-2, AC-7, AC-8, AC-9, AC-10 on the 150-case suite</w:t>
            </w:r>
          </w:p>
        </w:tc>
      </w:tr>
    </w:tbl>
    <w:p>
      <w:pPr>
        <w:pStyle w:val="BodyText"/>
      </w:pPr>
      <w:r>
        <w:t xml:space="preserve">Each gate is a 45-minute review with the people named in the RACI. If a Client dependency in §7 arrives late, the gate moves by the same number of business days, at no extra cost.</w:t>
      </w:r>
    </w:p>
    <w:bookmarkEnd w:id="14"/>
    <w:bookmarkStart w:id="15" w:name="data-handling"/>
    <w:p>
      <w:pPr>
        <w:pStyle w:val="Heading2"/>
      </w:pPr>
      <w:r>
        <w:t xml:space="preserve">6. Data handling</w:t>
      </w:r>
    </w:p>
    <w:p>
      <w:pPr>
        <w:pStyle w:val="Compact"/>
        <w:numPr>
          <w:ilvl w:val="0"/>
          <w:numId w:val="1002"/>
        </w:numPr>
      </w:pPr>
      <w:r>
        <w:rPr>
          <w:b/>
          <w:bCs/>
        </w:rPr>
        <w:t xml:space="preserve">Data in use.</w:t>
      </w:r>
      <w:r>
        <w:t xml:space="preserve"> </w:t>
      </w:r>
      <w:r>
        <w:t xml:space="preserve">The de-identified 20-claim export, the 15-policy export, the 74-document inventory and the 12-clause policy manual. All of it is synthetic or de-identified, and no claimant PII is used (DEC-007).</w:t>
      </w:r>
    </w:p>
    <w:p>
      <w:pPr>
        <w:pStyle w:val="Compact"/>
        <w:numPr>
          <w:ilvl w:val="0"/>
          <w:numId w:val="1002"/>
        </w:numPr>
      </w:pPr>
      <w:r>
        <w:rPr>
          <w:b/>
          <w:bCs/>
        </w:rPr>
        <w:t xml:space="preserve">Location.</w:t>
      </w:r>
      <w:r>
        <w:t xml:space="preserve"> </w:t>
      </w:r>
      <w:r>
        <w:t xml:space="preserve">Client data stays in the Client’s AWS account in us-east-1. Model calls send only the dossier: claim, policy and document fields with the holder name removed, plus the computed figures. The requesting user’s identity is never sent to a model (DEC-005).</w:t>
      </w:r>
    </w:p>
    <w:p>
      <w:pPr>
        <w:pStyle w:val="Compact"/>
        <w:numPr>
          <w:ilvl w:val="0"/>
          <w:numId w:val="1002"/>
        </w:numPr>
      </w:pPr>
      <w:r>
        <w:rPr>
          <w:b/>
          <w:bCs/>
        </w:rPr>
        <w:t xml:space="preserve">Model vendor.</w:t>
      </w:r>
      <w:r>
        <w:t xml:space="preserve"> </w:t>
      </w:r>
      <w:r>
        <w:t xml:space="preserve">OpenAI, used through the API with no training on Client data. Production data needs a signed DPA and a Security review of this architecture. Neither is in this SoW.</w:t>
      </w:r>
    </w:p>
    <w:p>
      <w:pPr>
        <w:pStyle w:val="Compact"/>
        <w:numPr>
          <w:ilvl w:val="0"/>
          <w:numId w:val="1002"/>
        </w:numPr>
      </w:pPr>
      <w:r>
        <w:rPr>
          <w:b/>
          <w:bCs/>
        </w:rPr>
        <w:t xml:space="preserve">Secrets.</w:t>
      </w:r>
      <w:r>
        <w:t xml:space="preserve"> </w:t>
      </w:r>
      <w:r>
        <w:t xml:space="preserve">Secrets are kept in AWS SSM Parameter Store as SecureString. No credential is stored in code, images or CI logs.</w:t>
      </w:r>
    </w:p>
    <w:p>
      <w:pPr>
        <w:pStyle w:val="Compact"/>
        <w:numPr>
          <w:ilvl w:val="0"/>
          <w:numId w:val="1002"/>
        </w:numPr>
      </w:pPr>
      <w:r>
        <w:rPr>
          <w:b/>
          <w:bCs/>
        </w:rPr>
        <w:t xml:space="preserve">Retention.</w:t>
      </w:r>
      <w:r>
        <w:t xml:space="preserve"> </w:t>
      </w:r>
      <w:r>
        <w:t xml:space="preserve">Audit logs are kept for 90 days in CloudWatch. Model inputs and outputs are not retained beyond the request, except for eval runs, which store synthetic data only.</w:t>
      </w:r>
    </w:p>
    <w:p>
      <w:pPr>
        <w:pStyle w:val="Compact"/>
        <w:numPr>
          <w:ilvl w:val="0"/>
          <w:numId w:val="1002"/>
        </w:numPr>
      </w:pPr>
      <w:r>
        <w:rPr>
          <w:b/>
          <w:bCs/>
        </w:rPr>
        <w:t xml:space="preserve">Return and deletion.</w:t>
      </w:r>
      <w:r>
        <w:t xml:space="preserve"> </w:t>
      </w:r>
      <w:r>
        <w:t xml:space="preserve">At the end of the engagement the Provider deletes every copy of Client data outside the Client’s account and confirms this in writing within 5 business days.</w:t>
      </w:r>
    </w:p>
    <w:bookmarkEnd w:id="15"/>
    <w:bookmarkStart w:id="16" w:name="client-dependencies"/>
    <w:p>
      <w:pPr>
        <w:pStyle w:val="Heading2"/>
      </w:pPr>
      <w:r>
        <w:t xml:space="preserve">7. Client dependencies</w:t>
      </w:r>
    </w:p>
    <w:tbl>
      <w:tblPr>
        <w:tblStyle w:val="Table"/>
        <w:tblW w:type="dxa" w:w="10080"/>
        <w:tblLayout w:type="fixed"/>
        <w:tblLook w:firstRow="1" w:lastRow="0" w:firstColumn="0" w:lastColumn="0" w:noHBand="0" w:noVBand="0" w:val="0020"/>
      </w:tblPr>
      <w:tblGrid>
        <w:gridCol w:w="782"/>
        <w:gridCol w:w="6176"/>
        <w:gridCol w:w="1672"/>
        <w:gridCol w:w="1450"/>
      </w:tblGrid>
      <w:tr>
        <w:trPr>
          <w:tblHeader w:val="on"/>
        </w:trPr>
        <w:tc>
          <w:tcPr>
            <w:tcW w:w="782" w:type="dxa"/>
          </w:tcPr>
          <w:p>
            <w:pPr>
              <w:pStyle w:val="Compact"/>
            </w:pPr>
            <w:r>
              <w:t xml:space="preserve">#</w:t>
            </w:r>
          </w:p>
        </w:tc>
        <w:tc>
          <w:tcPr>
            <w:tcW w:w="6176" w:type="dxa"/>
          </w:tcPr>
          <w:p>
            <w:pPr>
              <w:pStyle w:val="Compact"/>
            </w:pPr>
            <w:r>
              <w:t xml:space="preserve">Dependency</w:t>
            </w:r>
          </w:p>
        </w:tc>
        <w:tc>
          <w:tcPr>
            <w:tcW w:w="1672" w:type="dxa"/>
          </w:tcPr>
          <w:p>
            <w:pPr>
              <w:pStyle w:val="Compact"/>
            </w:pPr>
            <w:r>
              <w:t xml:space="preserve">Owner</w:t>
            </w:r>
          </w:p>
        </w:tc>
        <w:tc>
          <w:tcPr>
            <w:tcW w:w="1450" w:type="dxa"/>
          </w:tcPr>
          <w:p>
            <w:pPr>
              <w:pStyle w:val="Compact"/>
            </w:pPr>
            <w:r>
              <w:t xml:space="preserve">Needed by</w:t>
            </w:r>
          </w:p>
        </w:tc>
      </w:tr>
      <w:tr>
        <w:tc>
          <w:tcPr>
            <w:tcW w:w="782" w:type="dxa"/>
          </w:tcPr>
          <w:p>
            <w:pPr>
              <w:pStyle w:val="Compact"/>
            </w:pPr>
            <w:r>
              <w:t xml:space="preserve">CD-1</w:t>
            </w:r>
          </w:p>
        </w:tc>
        <w:tc>
          <w:tcPr>
            <w:tcW w:w="6176" w:type="dxa"/>
          </w:tcPr>
          <w:p>
            <w:pPr>
              <w:pStyle w:val="Compact"/>
            </w:pPr>
            <w:r>
              <w:t xml:space="preserve">AWS account access: ECR, S3, Lambda, SSM, IAM roles, CloudWatch; Cognito, or an approved JWT alternative (DEC-012)</w:t>
            </w:r>
          </w:p>
        </w:tc>
        <w:tc>
          <w:tcPr>
            <w:tcW w:w="1672" w:type="dxa"/>
          </w:tcPr>
          <w:p>
            <w:pPr>
              <w:pStyle w:val="Compact"/>
            </w:pPr>
            <w:r>
              <w:t xml:space="preserve">Tom Ngata</w:t>
            </w:r>
          </w:p>
        </w:tc>
        <w:tc>
          <w:tcPr>
            <w:tcW w:w="1450" w:type="dxa"/>
          </w:tcPr>
          <w:p>
            <w:pPr>
              <w:pStyle w:val="Compact"/>
            </w:pPr>
            <w:r>
              <w:t xml:space="preserve">W2 Fri</w:t>
            </w:r>
          </w:p>
        </w:tc>
      </w:tr>
      <w:tr>
        <w:tc>
          <w:tcPr>
            <w:tcW w:w="782" w:type="dxa"/>
          </w:tcPr>
          <w:p>
            <w:pPr>
              <w:pStyle w:val="Compact"/>
            </w:pPr>
            <w:r>
              <w:t xml:space="preserve">CD-2</w:t>
            </w:r>
          </w:p>
        </w:tc>
        <w:tc>
          <w:tcPr>
            <w:tcW w:w="6176" w:type="dxa"/>
          </w:tcPr>
          <w:p>
            <w:pPr>
              <w:pStyle w:val="Compact"/>
            </w:pPr>
            <w:r>
              <w:t xml:space="preserve">CMS and document-store API specifications (needed for the production shapes of the mocks)</w:t>
            </w:r>
          </w:p>
        </w:tc>
        <w:tc>
          <w:tcPr>
            <w:tcW w:w="1672" w:type="dxa"/>
          </w:tcPr>
          <w:p>
            <w:pPr>
              <w:pStyle w:val="Compact"/>
            </w:pPr>
            <w:r>
              <w:t xml:space="preserve">Tom Ngata</w:t>
            </w:r>
          </w:p>
        </w:tc>
        <w:tc>
          <w:tcPr>
            <w:tcW w:w="1450" w:type="dxa"/>
          </w:tcPr>
          <w:p>
            <w:pPr>
              <w:pStyle w:val="Compact"/>
            </w:pPr>
            <w:r>
              <w:t xml:space="preserve">W3 Mon</w:t>
            </w:r>
          </w:p>
        </w:tc>
      </w:tr>
      <w:tr>
        <w:tc>
          <w:tcPr>
            <w:tcW w:w="782" w:type="dxa"/>
          </w:tcPr>
          <w:p>
            <w:pPr>
              <w:pStyle w:val="Compact"/>
            </w:pPr>
            <w:r>
              <w:t xml:space="preserve">CD-3</w:t>
            </w:r>
          </w:p>
        </w:tc>
        <w:tc>
          <w:tcPr>
            <w:tcW w:w="6176" w:type="dxa"/>
          </w:tcPr>
          <w:p>
            <w:pPr>
              <w:pStyle w:val="Compact"/>
            </w:pPr>
            <w:r>
              <w:t xml:space="preserve">Bob Reyes: 2 hrs/week labelling eval cases; 30 min at each gate</w:t>
            </w:r>
          </w:p>
        </w:tc>
        <w:tc>
          <w:tcPr>
            <w:tcW w:w="1672" w:type="dxa"/>
          </w:tcPr>
          <w:p>
            <w:pPr>
              <w:pStyle w:val="Compact"/>
            </w:pPr>
            <w:r>
              <w:t xml:space="preserve">Dana Whitfield</w:t>
            </w:r>
          </w:p>
        </w:tc>
        <w:tc>
          <w:tcPr>
            <w:tcW w:w="1450" w:type="dxa"/>
          </w:tcPr>
          <w:p>
            <w:pPr>
              <w:pStyle w:val="Compact"/>
            </w:pPr>
            <w:r>
              <w:t xml:space="preserve">Weekly</w:t>
            </w:r>
          </w:p>
        </w:tc>
      </w:tr>
      <w:tr>
        <w:tc>
          <w:tcPr>
            <w:tcW w:w="782" w:type="dxa"/>
          </w:tcPr>
          <w:p>
            <w:pPr>
              <w:pStyle w:val="Compact"/>
            </w:pPr>
            <w:r>
              <w:t xml:space="preserve">CD-4</w:t>
            </w:r>
          </w:p>
        </w:tc>
        <w:tc>
          <w:tcPr>
            <w:tcW w:w="6176" w:type="dxa"/>
          </w:tcPr>
          <w:p>
            <w:pPr>
              <w:pStyle w:val="Compact"/>
            </w:pPr>
            <w:r>
              <w:t xml:space="preserve">Security review slot in W2 and W4</w:t>
            </w:r>
          </w:p>
        </w:tc>
        <w:tc>
          <w:tcPr>
            <w:tcW w:w="1672" w:type="dxa"/>
          </w:tcPr>
          <w:p>
            <w:pPr>
              <w:pStyle w:val="Compact"/>
            </w:pPr>
            <w:r>
              <w:t xml:space="preserve">Marcus Chen</w:t>
            </w:r>
          </w:p>
        </w:tc>
        <w:tc>
          <w:tcPr>
            <w:tcW w:w="1450" w:type="dxa"/>
          </w:tcPr>
          <w:p>
            <w:pPr>
              <w:pStyle w:val="Compact"/>
            </w:pPr>
            <w:r>
              <w:t xml:space="preserve">W2 Thu, W4 Thu</w:t>
            </w:r>
          </w:p>
        </w:tc>
      </w:tr>
      <w:tr>
        <w:tc>
          <w:tcPr>
            <w:tcW w:w="782" w:type="dxa"/>
          </w:tcPr>
          <w:p>
            <w:pPr>
              <w:pStyle w:val="Compact"/>
            </w:pPr>
            <w:r>
              <w:t xml:space="preserve">CD-5</w:t>
            </w:r>
          </w:p>
        </w:tc>
        <w:tc>
          <w:tcPr>
            <w:tcW w:w="6176" w:type="dxa"/>
          </w:tcPr>
          <w:p>
            <w:pPr>
              <w:pStyle w:val="Compact"/>
            </w:pPr>
            <w:r>
              <w:t xml:space="preserve">Policy manual changes frozen for the pilot, or a change notice ≥ 2 business days ahead</w:t>
            </w:r>
          </w:p>
        </w:tc>
        <w:tc>
          <w:tcPr>
            <w:tcW w:w="1672" w:type="dxa"/>
          </w:tcPr>
          <w:p>
            <w:pPr>
              <w:pStyle w:val="Compact"/>
            </w:pPr>
            <w:r>
              <w:t xml:space="preserve">Grace Liu</w:t>
            </w:r>
          </w:p>
        </w:tc>
        <w:tc>
          <w:tcPr>
            <w:tcW w:w="1450" w:type="dxa"/>
          </w:tcPr>
          <w:p>
            <w:pPr>
              <w:pStyle w:val="Compact"/>
            </w:pPr>
            <w:r>
              <w:t xml:space="preserve">Through W5</w:t>
            </w:r>
          </w:p>
        </w:tc>
      </w:tr>
    </w:tbl>
    <w:bookmarkEnd w:id="16"/>
    <w:bookmarkStart w:id="17" w:name="change-control"/>
    <w:p>
      <w:pPr>
        <w:pStyle w:val="Heading2"/>
      </w:pPr>
      <w:r>
        <w:t xml:space="preserve">8. Change control</w:t>
      </w:r>
    </w:p>
    <w:p>
      <w:pPr>
        <w:pStyle w:val="FirstParagraph"/>
      </w:pPr>
      <w:r>
        <w:t xml:space="preserve">A change request records the change, its reason, the impact on cost and timeline, and which acceptance criteria it alters. The Sponsor approves it in writing before work starts. The usual triggers are a new system, a write integration, a new decision code, a threshold change after W3, or a move to production data. Moving the pilot toward auto-approval also needs Legal and Underwriting sign-off (DEC-001 revisit trigger).</w:t>
      </w:r>
    </w:p>
    <w:bookmarkEnd w:id="17"/>
    <w:bookmarkStart w:id="18" w:name="intellectual-property"/>
    <w:p>
      <w:pPr>
        <w:pStyle w:val="Heading2"/>
      </w:pPr>
      <w:r>
        <w:t xml:space="preserve">9. Intellectual property</w:t>
      </w:r>
    </w:p>
    <w:p>
      <w:pPr>
        <w:pStyle w:val="Compact"/>
        <w:numPr>
          <w:ilvl w:val="0"/>
          <w:numId w:val="1003"/>
        </w:numPr>
      </w:pPr>
      <w:r>
        <w:t xml:space="preserve">The Client owns the deliverables: code, prompts, eval cases, documents and configuration, once paid for.</w:t>
      </w:r>
    </w:p>
    <w:p>
      <w:pPr>
        <w:pStyle w:val="Compact"/>
        <w:numPr>
          <w:ilvl w:val="0"/>
          <w:numId w:val="1003"/>
        </w:numPr>
      </w:pPr>
      <w:r>
        <w:t xml:space="preserve">The Provider keeps its pre-existing tools and generic libraries and grants the Client a perpetual, royalty-free licence to use them as part of the deliverables.</w:t>
      </w:r>
    </w:p>
    <w:p>
      <w:pPr>
        <w:pStyle w:val="Compact"/>
        <w:numPr>
          <w:ilvl w:val="0"/>
          <w:numId w:val="1003"/>
        </w:numPr>
      </w:pPr>
      <w:r>
        <w:t xml:space="preserve">Eval cases and labels built from Client data are Client property. They do not leave the engagement.</w:t>
      </w:r>
    </w:p>
    <w:p>
      <w:pPr>
        <w:pStyle w:val="Compact"/>
        <w:numPr>
          <w:ilvl w:val="0"/>
          <w:numId w:val="1003"/>
        </w:numPr>
      </w:pPr>
      <w:r>
        <w:t xml:space="preserve">Third-party components (OpenAI API, OpenSearch, AWS services) stay under their own licences and terms.</w:t>
      </w:r>
    </w:p>
    <w:bookmarkEnd w:id="18"/>
    <w:bookmarkStart w:id="19" w:name="commercials"/>
    <w:p>
      <w:pPr>
        <w:pStyle w:val="Heading2"/>
      </w:pPr>
      <w:r>
        <w:t xml:space="preserve">10. Commercials</w:t>
      </w:r>
    </w:p>
    <w:p>
      <w:pPr>
        <w:pStyle w:val="FirstParagraph"/>
      </w:pPr>
      <w:r>
        <w:t xml:space="preserve">Time and materials, capped at</w:t>
      </w:r>
      <w:r>
        <w:t xml:space="preserve"> </w:t>
      </w:r>
      <w:r>
        <w:rPr>
          <w:b/>
          <w:bCs/>
        </w:rPr>
        <w:t xml:space="preserve">$64,500</w:t>
      </w:r>
      <w:r>
        <w:t xml:space="preserve"> </w:t>
      </w:r>
      <w:r>
        <w:t xml:space="preserve">in fees. Pass-through cloud and model costs are capped at</w:t>
      </w:r>
      <w:r>
        <w:t xml:space="preserve"> </w:t>
      </w:r>
      <w:r>
        <w:rPr>
          <w:b/>
          <w:bCs/>
        </w:rPr>
        <w:t xml:space="preserve">$1,500</w:t>
      </w:r>
      <w:r>
        <w:t xml:space="preserve"> </w:t>
      </w:r>
      <w:r>
        <w:t xml:space="preserve">and billed at cost. Invoiced at the end of each milestone against hours logged. The reasoning and assumptions are in the pricing memo (</w:t>
      </w:r>
      <w:r>
        <w:rPr>
          <w:rStyle w:val="VerbatimChar"/>
        </w:rPr>
        <w:t xml:space="preserve">03_PRICING_MEMO.md</w:t>
      </w:r>
      <w:r>
        <w:t xml:space="preserve">), and the fee cap holds while those assumptions do. Payment is due 30 days from invoice.</w:t>
      </w:r>
    </w:p>
    <w:bookmarkEnd w:id="19"/>
    <w:bookmarkStart w:id="20" w:name="responsibilities-and-warranty"/>
    <w:p>
      <w:pPr>
        <w:pStyle w:val="Heading2"/>
      </w:pPr>
      <w:r>
        <w:t xml:space="preserve">11. Responsibilities and warranty</w:t>
      </w:r>
    </w:p>
    <w:p>
      <w:pPr>
        <w:pStyle w:val="FirstParagraph"/>
      </w:pPr>
      <w:r>
        <w:t xml:space="preserve">The system is a recommendation tool. Under CLS-PAY-012 no output from it authorises a payment. Responsibility for every claim decision stays with the confirming adjuster. The Provider warrants that each deliverable meets its acceptance criterion at acceptance. Defects reported within 30 days of final acceptance are fixed at no charge.</w:t>
      </w:r>
    </w:p>
    <w:bookmarkEnd w:id="20"/>
    <w:bookmarkStart w:id="21" w:name="sign-off"/>
    <w:p>
      <w:pPr>
        <w:pStyle w:val="Heading2"/>
      </w:pPr>
      <w:r>
        <w:t xml:space="preserve">Sign-off</w:t>
      </w:r>
    </w:p>
    <w:tbl>
      <w:tblPr>
        <w:tblStyle w:val="Table"/>
        <w:tblW w:type="auto" w:w="0"/>
        <w:tblLook w:firstRow="1" w:lastRow="0" w:firstColumn="0" w:lastColumn="0" w:noHBand="0" w:noVBand="0" w:val="0020"/>
      </w:tblPr>
      <w:tblGrid>
        <w:gridCol w:w="4031"/>
        <w:gridCol w:w="3926"/>
        <w:gridCol w:w="2123"/>
      </w:tblGrid>
      <w:tr>
        <w:trPr>
          <w:tblHeader w:val="on"/>
        </w:trPr>
        <w:tc>
          <w:tcPr>
            <w:tcW w:w="4031" w:type="dxa"/>
          </w:tcPr>
          <w:p>
            <w:pPr>
              <w:pStyle w:val="Compact"/>
            </w:pPr>
            <w:r>
              <w:t xml:space="preserve">Role</w:t>
            </w:r>
          </w:p>
        </w:tc>
        <w:tc>
          <w:tcPr>
            <w:tcW w:w="3926" w:type="dxa"/>
          </w:tcPr>
          <w:p>
            <w:pPr>
              <w:pStyle w:val="Compact"/>
            </w:pPr>
            <w:r>
              <w:t xml:space="preserve">Name</w:t>
            </w:r>
          </w:p>
        </w:tc>
        <w:tc>
          <w:tcPr>
            <w:tcW w:w="2123" w:type="dxa"/>
          </w:tcPr>
          <w:p>
            <w:pPr>
              <w:pStyle w:val="Compact"/>
            </w:pPr>
            <w:r>
              <w:t xml:space="preserve">Signature / date</w:t>
            </w:r>
          </w:p>
        </w:tc>
      </w:tr>
      <w:tr>
        <w:tc>
          <w:tcPr>
            <w:tcW w:w="4031" w:type="dxa"/>
          </w:tcPr>
          <w:p>
            <w:pPr>
              <w:pStyle w:val="Compact"/>
            </w:pPr>
            <w:r>
              <w:t xml:space="preserve">Sponsor (Accountable)</w:t>
            </w:r>
          </w:p>
        </w:tc>
        <w:tc>
          <w:tcPr>
            <w:tcW w:w="3926" w:type="dxa"/>
          </w:tcPr>
          <w:p>
            <w:pPr>
              <w:pStyle w:val="Compact"/>
            </w:pPr>
            <w:r>
              <w:t xml:space="preserve">Dana Whitfield, Claims Director</w:t>
            </w:r>
          </w:p>
        </w:tc>
        <w:tc>
          <w:tcPr>
            <w:tcW w:w="2123" w:type="dxa"/>
          </w:tcPr>
          <w:p>
            <w:pPr>
              <w:pStyle w:val="Compact"/>
            </w:pPr>
          </w:p>
        </w:tc>
      </w:tr>
      <w:tr>
        <w:tc>
          <w:tcPr>
            <w:tcW w:w="4031" w:type="dxa"/>
          </w:tcPr>
          <w:p>
            <w:pPr>
              <w:pStyle w:val="Compact"/>
            </w:pPr>
            <w:r>
              <w:t xml:space="preserve">Legal &amp; Procurement</w:t>
            </w:r>
          </w:p>
        </w:tc>
        <w:tc>
          <w:tcPr>
            <w:tcW w:w="3926" w:type="dxa"/>
          </w:tcPr>
          <w:p>
            <w:pPr>
              <w:pStyle w:val="Compact"/>
            </w:pPr>
            <w:r>
              <w:t xml:space="preserve">Elena Vasquez</w:t>
            </w:r>
          </w:p>
        </w:tc>
        <w:tc>
          <w:tcPr>
            <w:tcW w:w="2123" w:type="dxa"/>
          </w:tcPr>
          <w:p>
            <w:pPr>
              <w:pStyle w:val="Compact"/>
            </w:pPr>
          </w:p>
        </w:tc>
      </w:tr>
      <w:tr>
        <w:tc>
          <w:tcPr>
            <w:tcW w:w="4031" w:type="dxa"/>
          </w:tcPr>
          <w:p>
            <w:pPr>
              <w:pStyle w:val="Compact"/>
            </w:pPr>
            <w:r>
              <w:t xml:space="preserve">Security (consulted, AC-1)</w:t>
            </w:r>
          </w:p>
        </w:tc>
        <w:tc>
          <w:tcPr>
            <w:tcW w:w="3926" w:type="dxa"/>
          </w:tcPr>
          <w:p>
            <w:pPr>
              <w:pStyle w:val="Compact"/>
            </w:pPr>
            <w:r>
              <w:t xml:space="preserve">Marcus Chen, CISO</w:t>
            </w:r>
          </w:p>
        </w:tc>
        <w:tc>
          <w:tcPr>
            <w:tcW w:w="2123" w:type="dxa"/>
          </w:tcPr>
          <w:p>
            <w:pPr>
              <w:pStyle w:val="Compact"/>
            </w:pPr>
          </w:p>
        </w:tc>
      </w:tr>
      <w:tr>
        <w:tc>
          <w:tcPr>
            <w:tcW w:w="4031" w:type="dxa"/>
          </w:tcPr>
          <w:p>
            <w:pPr>
              <w:pStyle w:val="Compact"/>
            </w:pPr>
            <w:r>
              <w:t xml:space="preserve">Provider</w:t>
            </w:r>
          </w:p>
        </w:tc>
        <w:tc>
          <w:tcPr>
            <w:tcW w:w="3926" w:type="dxa"/>
          </w:tcPr>
          <w:p>
            <w:pPr>
              <w:pStyle w:val="Compact"/>
            </w:pPr>
            <w:r>
              <w:t xml:space="preserve">Pranjal, FDE</w:t>
            </w:r>
          </w:p>
        </w:tc>
        <w:tc>
          <w:tcPr>
            <w:tcW w:w="2123" w:type="dxa"/>
          </w:tcPr>
          <w:p>
            <w:pPr>
              <w:pStyle w:val="Compact"/>
            </w:pPr>
          </w:p>
        </w:tc>
      </w:tr>
    </w:tbl>
    <w:bookmarkEnd w:id="21"/>
    <w:bookmarkEnd w:id="22"/>
    <w:bookmarkStart w:id="30" w:name="pricing"/>
    <w:p>
      <w:pPr>
        <w:pStyle w:val="Heading1"/>
      </w:pPr>
      <w:r>
        <w:t xml:space="preserve">2 · Pricing</w:t>
      </w:r>
    </w:p>
    <w:p>
      <w:pPr>
        <w:pStyle w:val="FirstParagraph"/>
      </w:pPr>
      <w:r>
        <w:t xml:space="preserve">To: Dana Whitfield (Claims Director) · cc: Richard Oyelaran (CFO), Elena Vasquez (Legal)</w:t>
      </w:r>
      <w:r>
        <w:t xml:space="preserve"> </w:t>
      </w:r>
      <w:r>
        <w:t xml:space="preserve">From: Pranjal, FDE · 2026-10-07</w:t>
      </w:r>
    </w:p>
    <w:bookmarkStart w:id="23" w:name="recommendation"/>
    <w:p>
      <w:pPr>
        <w:pStyle w:val="Heading2"/>
      </w:pPr>
      <w:r>
        <w:t xml:space="preserve">Recommendation</w:t>
      </w:r>
    </w:p>
    <w:p>
      <w:pPr>
        <w:pStyle w:val="FirstParagraph"/>
      </w:pPr>
      <w:r>
        <w:rPr>
          <w:b/>
          <w:bCs/>
        </w:rPr>
        <w:t xml:space="preserve">Time and materials with a hard cap: $64,500 in fees, plus up to $1,500 of cloud and model costs passed through at cost.</w:t>
      </w:r>
      <w:r>
        <w:t xml:space="preserve"> </w:t>
      </w:r>
      <w:r>
        <w:t xml:space="preserve">Invoices go out at each milestone, against hours logged. If the work comes in under the cap, AutoSure pays less. If it would go over, the Provider absorbs the difference, unless one of the assumptions below has broken and a change request has been signed.</w:t>
      </w:r>
    </w:p>
    <w:bookmarkEnd w:id="23"/>
    <w:bookmarkStart w:id="24" w:name="why-this-model"/>
    <w:p>
      <w:pPr>
        <w:pStyle w:val="Heading2"/>
      </w:pPr>
      <w:r>
        <w:t xml:space="preserve">Why this model</w:t>
      </w:r>
    </w:p>
    <w:tbl>
      <w:tblPr>
        <w:tblStyle w:val="Table"/>
        <w:tblW w:type="dxa" w:w="10080"/>
        <w:tblLayout w:type="fixed"/>
        <w:tblLook w:firstRow="1" w:lastRow="0" w:firstColumn="0" w:lastColumn="0" w:noHBand="0" w:noVBand="0" w:val="0020"/>
      </w:tblPr>
      <w:tblGrid>
        <w:gridCol w:w="2072"/>
        <w:gridCol w:w="1323"/>
        <w:gridCol w:w="6685"/>
      </w:tblGrid>
      <w:tr>
        <w:trPr>
          <w:tblHeader w:val="on"/>
        </w:trPr>
        <w:tc>
          <w:tcPr>
            <w:tcW w:w="2072" w:type="dxa"/>
          </w:tcPr>
          <w:p>
            <w:pPr>
              <w:pStyle w:val="Compact"/>
            </w:pPr>
            <w:r>
              <w:t xml:space="preserve">Model</w:t>
            </w:r>
          </w:p>
        </w:tc>
        <w:tc>
          <w:tcPr>
            <w:tcW w:w="1323" w:type="dxa"/>
          </w:tcPr>
          <w:p>
            <w:pPr>
              <w:pStyle w:val="Compact"/>
            </w:pPr>
            <w:r>
              <w:t xml:space="preserve">Verdict</w:t>
            </w:r>
          </w:p>
        </w:tc>
        <w:tc>
          <w:tcPr>
            <w:tcW w:w="6685" w:type="dxa"/>
          </w:tcPr>
          <w:p>
            <w:pPr>
              <w:pStyle w:val="Compact"/>
            </w:pPr>
            <w:r>
              <w:t xml:space="preserve">Reasoning</w:t>
            </w:r>
          </w:p>
        </w:tc>
      </w:tr>
      <w:tr>
        <w:tc>
          <w:tcPr>
            <w:tcW w:w="2072" w:type="dxa"/>
          </w:tcPr>
          <w:p>
            <w:pPr>
              <w:pStyle w:val="Compact"/>
            </w:pPr>
            <w:r>
              <w:rPr>
                <w:b/>
                <w:bCs/>
              </w:rPr>
              <w:t xml:space="preserve">T&amp;M with a cap</w:t>
            </w:r>
          </w:p>
        </w:tc>
        <w:tc>
          <w:tcPr>
            <w:tcW w:w="1323" w:type="dxa"/>
          </w:tcPr>
          <w:p>
            <w:pPr>
              <w:pStyle w:val="Compact"/>
            </w:pPr>
            <w:r>
              <w:rPr>
                <w:b/>
                <w:bCs/>
              </w:rPr>
              <w:t xml:space="preserve">Chosen</w:t>
            </w:r>
          </w:p>
        </w:tc>
        <w:tc>
          <w:tcPr>
            <w:tcW w:w="6685" w:type="dxa"/>
          </w:tcPr>
          <w:p>
            <w:pPr>
              <w:pStyle w:val="Compact"/>
            </w:pPr>
            <w:r>
              <w:t xml:space="preserve">The scope is fixed (five weeks, eight deliverables, one acceptance test). The unknowns are on the Client’s side: CMS API readiness, Cognito availability and labelling time. A cap gives the CFO a ceiling, and T&amp;M under it means AutoSure doesn’t pay a risk premium for unknowns that may never materialise.</w:t>
            </w:r>
          </w:p>
        </w:tc>
      </w:tr>
      <w:tr>
        <w:tc>
          <w:tcPr>
            <w:tcW w:w="2072" w:type="dxa"/>
          </w:tcPr>
          <w:p>
            <w:pPr>
              <w:pStyle w:val="Compact"/>
            </w:pPr>
            <w:r>
              <w:t xml:space="preserve">Fixed price</w:t>
            </w:r>
          </w:p>
        </w:tc>
        <w:tc>
          <w:tcPr>
            <w:tcW w:w="1323" w:type="dxa"/>
          </w:tcPr>
          <w:p>
            <w:pPr>
              <w:pStyle w:val="Compact"/>
            </w:pPr>
            <w:r>
              <w:t xml:space="preserve">Rejected</w:t>
            </w:r>
          </w:p>
        </w:tc>
        <w:tc>
          <w:tcPr>
            <w:tcW w:w="6685" w:type="dxa"/>
          </w:tcPr>
          <w:p>
            <w:pPr>
              <w:pStyle w:val="Compact"/>
            </w:pPr>
            <w:r>
              <w:t xml:space="preserve">It would need a ~25% risk premium (≈ $70,000) to cover the dependency risk in SoW §7. AutoSure would pay for that risk even if it never materialised.</w:t>
            </w:r>
          </w:p>
        </w:tc>
      </w:tr>
      <w:tr>
        <w:tc>
          <w:tcPr>
            <w:tcW w:w="2072" w:type="dxa"/>
          </w:tcPr>
          <w:p>
            <w:pPr>
              <w:pStyle w:val="Compact"/>
            </w:pPr>
            <w:r>
              <w:t xml:space="preserve">Pure T&amp;M</w:t>
            </w:r>
          </w:p>
        </w:tc>
        <w:tc>
          <w:tcPr>
            <w:tcW w:w="1323" w:type="dxa"/>
          </w:tcPr>
          <w:p>
            <w:pPr>
              <w:pStyle w:val="Compact"/>
            </w:pPr>
            <w:r>
              <w:t xml:space="preserve">Rejected</w:t>
            </w:r>
          </w:p>
        </w:tc>
        <w:tc>
          <w:tcPr>
            <w:tcW w:w="6685" w:type="dxa"/>
          </w:tcPr>
          <w:p>
            <w:pPr>
              <w:pStyle w:val="Compact"/>
            </w:pPr>
            <w:r>
              <w:t xml:space="preserve">No ceiling, and the CFO asked for a number.</w:t>
            </w:r>
          </w:p>
        </w:tc>
      </w:tr>
      <w:tr>
        <w:tc>
          <w:tcPr>
            <w:tcW w:w="2072" w:type="dxa"/>
          </w:tcPr>
          <w:p>
            <w:pPr>
              <w:pStyle w:val="Compact"/>
            </w:pPr>
            <w:r>
              <w:t xml:space="preserve">Outcome-based (e.g., per minute saved)</w:t>
            </w:r>
          </w:p>
        </w:tc>
        <w:tc>
          <w:tcPr>
            <w:tcW w:w="1323" w:type="dxa"/>
          </w:tcPr>
          <w:p>
            <w:pPr>
              <w:pStyle w:val="Compact"/>
            </w:pPr>
            <w:r>
              <w:t xml:space="preserve">Rejected for the pilot</w:t>
            </w:r>
          </w:p>
        </w:tc>
        <w:tc>
          <w:tcPr>
            <w:tcW w:w="6685" w:type="dxa"/>
          </w:tcPr>
          <w:p>
            <w:pPr>
              <w:pStyle w:val="Compact"/>
            </w:pPr>
            <w:r>
              <w:t xml:space="preserve">There’s no measured baseline. Inconsistency is</w:t>
            </w:r>
            <w:r>
              <w:t xml:space="preserve"> </w:t>
            </w:r>
            <w:r>
              <w:t xml:space="preserve">“about 1 in 6”</w:t>
            </w:r>
            <w:r>
              <w:t xml:space="preserve">, and the volumes were only verified this week (Q-06). An outcome price needs a baseline that both sides trust, and producing that baseline is one of the things the pilot is for. It is offered as an option for the production phase.</w:t>
            </w:r>
          </w:p>
        </w:tc>
      </w:tr>
      <w:tr>
        <w:tc>
          <w:tcPr>
            <w:tcW w:w="2072" w:type="dxa"/>
          </w:tcPr>
          <w:p>
            <w:pPr>
              <w:pStyle w:val="Compact"/>
            </w:pPr>
            <w:r>
              <w:t xml:space="preserve">Per-claim subscription</w:t>
            </w:r>
          </w:p>
        </w:tc>
        <w:tc>
          <w:tcPr>
            <w:tcW w:w="1323" w:type="dxa"/>
          </w:tcPr>
          <w:p>
            <w:pPr>
              <w:pStyle w:val="Compact"/>
            </w:pPr>
            <w:r>
              <w:t xml:space="preserve">Deferred</w:t>
            </w:r>
          </w:p>
        </w:tc>
        <w:tc>
          <w:tcPr>
            <w:tcW w:w="6685" w:type="dxa"/>
          </w:tcPr>
          <w:p>
            <w:pPr>
              <w:pStyle w:val="Compact"/>
            </w:pPr>
            <w:r>
              <w:t xml:space="preserve">It suits production at ~3,900 claims a month. A five-week pilot on 20 claims doesn’t fit it.</w:t>
            </w:r>
          </w:p>
        </w:tc>
      </w:tr>
    </w:tbl>
    <w:bookmarkEnd w:id="24"/>
    <w:bookmarkStart w:id="25" w:name="fee-build-up"/>
    <w:p>
      <w:pPr>
        <w:pStyle w:val="Heading2"/>
      </w:pPr>
      <w:r>
        <w:t xml:space="preserve">Fee build-up</w:t>
      </w:r>
    </w:p>
    <w:tbl>
      <w:tblPr>
        <w:tblStyle w:val="Table"/>
        <w:tblW w:type="dxa" w:w="10080"/>
        <w:tblLayout w:type="fixed"/>
        <w:tblLook w:firstRow="1" w:lastRow="0" w:firstColumn="0" w:lastColumn="0" w:noHBand="0" w:noVBand="0" w:val="0020"/>
      </w:tblPr>
      <w:tblGrid>
        <w:gridCol w:w="5996"/>
        <w:gridCol w:w="987"/>
        <w:gridCol w:w="862"/>
        <w:gridCol w:w="2235"/>
      </w:tblGrid>
      <w:tr>
        <w:trPr>
          <w:tblHeader w:val="on"/>
        </w:trPr>
        <w:tc>
          <w:tcPr>
            <w:tcW w:w="5996" w:type="dxa"/>
          </w:tcPr>
          <w:p>
            <w:pPr>
              <w:pStyle w:val="Compact"/>
            </w:pPr>
            <w:r>
              <w:t xml:space="preserve">Role</w:t>
            </w:r>
          </w:p>
        </w:tc>
        <w:tc>
          <w:tcPr>
            <w:tcW w:w="987" w:type="dxa"/>
          </w:tcPr>
          <w:p>
            <w:pPr>
              <w:pStyle w:val="Compact"/>
            </w:pPr>
            <w:r>
              <w:t xml:space="preserve">Hours</w:t>
            </w:r>
          </w:p>
        </w:tc>
        <w:tc>
          <w:tcPr>
            <w:tcW w:w="862" w:type="dxa"/>
          </w:tcPr>
          <w:p>
            <w:pPr>
              <w:pStyle w:val="Compact"/>
            </w:pPr>
            <w:r>
              <w:t xml:space="preserve">Rate</w:t>
            </w:r>
          </w:p>
        </w:tc>
        <w:tc>
          <w:tcPr>
            <w:tcW w:w="2235" w:type="dxa"/>
          </w:tcPr>
          <w:p>
            <w:pPr>
              <w:pStyle w:val="Compact"/>
            </w:pPr>
            <w:r>
              <w:t xml:space="preserve">Fees</w:t>
            </w:r>
          </w:p>
        </w:tc>
      </w:tr>
      <w:tr>
        <w:tc>
          <w:tcPr>
            <w:tcW w:w="5996" w:type="dxa"/>
          </w:tcPr>
          <w:p>
            <w:pPr>
              <w:pStyle w:val="Compact"/>
            </w:pPr>
            <w:r>
              <w:t xml:space="preserve">Forward-deployed engineer (design, build, integration, handover)</w:t>
            </w:r>
          </w:p>
        </w:tc>
        <w:tc>
          <w:tcPr>
            <w:tcW w:w="987" w:type="dxa"/>
          </w:tcPr>
          <w:p>
            <w:pPr>
              <w:pStyle w:val="Compact"/>
            </w:pPr>
            <w:r>
              <w:t xml:space="preserve">180</w:t>
            </w:r>
          </w:p>
        </w:tc>
        <w:tc>
          <w:tcPr>
            <w:tcW w:w="862" w:type="dxa"/>
          </w:tcPr>
          <w:p>
            <w:pPr>
              <w:pStyle w:val="Compact"/>
            </w:pPr>
            <w:r>
              <w:t xml:space="preserve">$225</w:t>
            </w:r>
          </w:p>
        </w:tc>
        <w:tc>
          <w:tcPr>
            <w:tcW w:w="2235" w:type="dxa"/>
          </w:tcPr>
          <w:p>
            <w:pPr>
              <w:pStyle w:val="Compact"/>
            </w:pPr>
            <w:r>
              <w:t xml:space="preserve">$40,500</w:t>
            </w:r>
          </w:p>
        </w:tc>
      </w:tr>
      <w:tr>
        <w:tc>
          <w:tcPr>
            <w:tcW w:w="5996" w:type="dxa"/>
          </w:tcPr>
          <w:p>
            <w:pPr>
              <w:pStyle w:val="Compact"/>
            </w:pPr>
            <w:r>
              <w:t xml:space="preserve">Eval engineer (W3–W5: suite to 150 cases, adversarial set, CI gate)</w:t>
            </w:r>
          </w:p>
        </w:tc>
        <w:tc>
          <w:tcPr>
            <w:tcW w:w="987" w:type="dxa"/>
          </w:tcPr>
          <w:p>
            <w:pPr>
              <w:pStyle w:val="Compact"/>
            </w:pPr>
            <w:r>
              <w:t xml:space="preserve">60</w:t>
            </w:r>
          </w:p>
        </w:tc>
        <w:tc>
          <w:tcPr>
            <w:tcW w:w="862" w:type="dxa"/>
          </w:tcPr>
          <w:p>
            <w:pPr>
              <w:pStyle w:val="Compact"/>
            </w:pPr>
            <w:r>
              <w:t xml:space="preserve">$190</w:t>
            </w:r>
          </w:p>
        </w:tc>
        <w:tc>
          <w:tcPr>
            <w:tcW w:w="2235" w:type="dxa"/>
          </w:tcPr>
          <w:p>
            <w:pPr>
              <w:pStyle w:val="Compact"/>
            </w:pPr>
            <w:r>
              <w:t xml:space="preserve">$11,400</w:t>
            </w:r>
          </w:p>
        </w:tc>
      </w:tr>
      <w:tr>
        <w:tc>
          <w:tcPr>
            <w:tcW w:w="5996" w:type="dxa"/>
          </w:tcPr>
          <w:p>
            <w:pPr>
              <w:pStyle w:val="Compact"/>
            </w:pPr>
            <w:r>
              <w:t xml:space="preserve">Engagement manager (gates, status, change control)</w:t>
            </w:r>
          </w:p>
        </w:tc>
        <w:tc>
          <w:tcPr>
            <w:tcW w:w="987" w:type="dxa"/>
          </w:tcPr>
          <w:p>
            <w:pPr>
              <w:pStyle w:val="Compact"/>
            </w:pPr>
            <w:r>
              <w:t xml:space="preserve">18</w:t>
            </w:r>
          </w:p>
        </w:tc>
        <w:tc>
          <w:tcPr>
            <w:tcW w:w="862" w:type="dxa"/>
          </w:tcPr>
          <w:p>
            <w:pPr>
              <w:pStyle w:val="Compact"/>
            </w:pPr>
            <w:r>
              <w:t xml:space="preserve">$235</w:t>
            </w:r>
          </w:p>
        </w:tc>
        <w:tc>
          <w:tcPr>
            <w:tcW w:w="2235" w:type="dxa"/>
          </w:tcPr>
          <w:p>
            <w:pPr>
              <w:pStyle w:val="Compact"/>
            </w:pPr>
            <w:r>
              <w:t xml:space="preserve">$4,230</w:t>
            </w:r>
          </w:p>
        </w:tc>
      </w:tr>
      <w:tr>
        <w:tc>
          <w:tcPr>
            <w:tcW w:w="5996" w:type="dxa"/>
          </w:tcPr>
          <w:p>
            <w:pPr>
              <w:pStyle w:val="Compact"/>
            </w:pPr>
            <w:r>
              <w:rPr>
                <w:b/>
                <w:bCs/>
              </w:rPr>
              <w:t xml:space="preserve">Estimate</w:t>
            </w:r>
          </w:p>
        </w:tc>
        <w:tc>
          <w:tcPr>
            <w:tcW w:w="987" w:type="dxa"/>
          </w:tcPr>
          <w:p>
            <w:pPr>
              <w:pStyle w:val="Compact"/>
            </w:pPr>
            <w:r>
              <w:rPr>
                <w:b/>
                <w:bCs/>
              </w:rPr>
              <w:t xml:space="preserve">258</w:t>
            </w:r>
          </w:p>
        </w:tc>
        <w:tc>
          <w:tcPr>
            <w:tcW w:w="862" w:type="dxa"/>
          </w:tcPr>
          <w:p>
            <w:pPr>
              <w:pStyle w:val="Compact"/>
            </w:pPr>
          </w:p>
        </w:tc>
        <w:tc>
          <w:tcPr>
            <w:tcW w:w="2235" w:type="dxa"/>
          </w:tcPr>
          <w:p>
            <w:pPr>
              <w:pStyle w:val="Compact"/>
            </w:pPr>
            <w:r>
              <w:rPr>
                <w:b/>
                <w:bCs/>
              </w:rPr>
              <w:t xml:space="preserve">$56,130</w:t>
            </w:r>
          </w:p>
        </w:tc>
      </w:tr>
      <w:tr>
        <w:tc>
          <w:tcPr>
            <w:tcW w:w="5996" w:type="dxa"/>
          </w:tcPr>
          <w:p>
            <w:pPr>
              <w:pStyle w:val="Compact"/>
            </w:pPr>
            <w:r>
              <w:t xml:space="preserve">Contingency, 15%</w:t>
            </w:r>
          </w:p>
        </w:tc>
        <w:tc>
          <w:tcPr>
            <w:tcW w:w="987" w:type="dxa"/>
          </w:tcPr>
          <w:p>
            <w:pPr>
              <w:pStyle w:val="Compact"/>
            </w:pPr>
          </w:p>
        </w:tc>
        <w:tc>
          <w:tcPr>
            <w:tcW w:w="862" w:type="dxa"/>
          </w:tcPr>
          <w:p>
            <w:pPr>
              <w:pStyle w:val="Compact"/>
            </w:pPr>
          </w:p>
        </w:tc>
        <w:tc>
          <w:tcPr>
            <w:tcW w:w="2235" w:type="dxa"/>
          </w:tcPr>
          <w:p>
            <w:pPr>
              <w:pStyle w:val="Compact"/>
            </w:pPr>
            <w:r>
              <w:t xml:space="preserve">$8,420</w:t>
            </w:r>
          </w:p>
        </w:tc>
      </w:tr>
      <w:tr>
        <w:tc>
          <w:tcPr>
            <w:tcW w:w="5996" w:type="dxa"/>
          </w:tcPr>
          <w:p>
            <w:pPr>
              <w:pStyle w:val="Compact"/>
            </w:pPr>
            <w:r>
              <w:rPr>
                <w:b/>
                <w:bCs/>
              </w:rPr>
              <w:t xml:space="preserve">Cap</w:t>
            </w:r>
          </w:p>
        </w:tc>
        <w:tc>
          <w:tcPr>
            <w:tcW w:w="987" w:type="dxa"/>
          </w:tcPr>
          <w:p>
            <w:pPr>
              <w:pStyle w:val="Compact"/>
            </w:pPr>
          </w:p>
        </w:tc>
        <w:tc>
          <w:tcPr>
            <w:tcW w:w="862" w:type="dxa"/>
          </w:tcPr>
          <w:p>
            <w:pPr>
              <w:pStyle w:val="Compact"/>
            </w:pPr>
          </w:p>
        </w:tc>
        <w:tc>
          <w:tcPr>
            <w:tcW w:w="2235" w:type="dxa"/>
          </w:tcPr>
          <w:p>
            <w:pPr>
              <w:pStyle w:val="Compact"/>
            </w:pPr>
            <w:r>
              <w:rPr>
                <w:b/>
                <w:bCs/>
              </w:rPr>
              <w:t xml:space="preserve">$64,500</w:t>
            </w:r>
            <w:r>
              <w:t xml:space="preserve"> </w:t>
            </w:r>
            <w:r>
              <w:t xml:space="preserve">(rounded)</w:t>
            </w:r>
          </w:p>
        </w:tc>
      </w:tr>
    </w:tbl>
    <w:p>
      <w:pPr>
        <w:pStyle w:val="BodyText"/>
      </w:pPr>
      <w:r>
        <w:t xml:space="preserve">Fees by milestone, in the order expected to be invoiced: W2 $9,000 · W3 $18,500 · W4 $13,000 · W5 $15,630 (estimate; actuals billed).</w:t>
      </w:r>
    </w:p>
    <w:bookmarkEnd w:id="25"/>
    <w:bookmarkStart w:id="26" w:name="X4ec1260fa11d9ab3b3be0bfb69f18f0a49c4649"/>
    <w:p>
      <w:pPr>
        <w:pStyle w:val="Heading2"/>
      </w:pPr>
      <w:r>
        <w:t xml:space="preserve">Pass-through costs (billed at cost, cap $1,500)</w:t>
      </w:r>
    </w:p>
    <w:tbl>
      <w:tblPr>
        <w:tblStyle w:val="Table"/>
        <w:tblW w:type="dxa" w:w="10080"/>
        <w:tblLayout w:type="fixed"/>
        <w:tblLook w:firstRow="1" w:lastRow="0" w:firstColumn="0" w:lastColumn="0" w:noHBand="0" w:noVBand="0" w:val="0020"/>
      </w:tblPr>
      <w:tblGrid>
        <w:gridCol w:w="4123"/>
        <w:gridCol w:w="4426"/>
        <w:gridCol w:w="1531"/>
      </w:tblGrid>
      <w:tr>
        <w:trPr>
          <w:tblHeader w:val="on"/>
        </w:trPr>
        <w:tc>
          <w:tcPr>
            <w:tcW w:w="4123" w:type="dxa"/>
          </w:tcPr>
          <w:p>
            <w:pPr>
              <w:pStyle w:val="Compact"/>
            </w:pPr>
            <w:r>
              <w:t xml:space="preserve">Item</w:t>
            </w:r>
          </w:p>
        </w:tc>
        <w:tc>
          <w:tcPr>
            <w:tcW w:w="4426" w:type="dxa"/>
          </w:tcPr>
          <w:p>
            <w:pPr>
              <w:pStyle w:val="Compact"/>
            </w:pPr>
            <w:r>
              <w:t xml:space="preserve">Basis</w:t>
            </w:r>
          </w:p>
        </w:tc>
        <w:tc>
          <w:tcPr>
            <w:tcW w:w="1531" w:type="dxa"/>
          </w:tcPr>
          <w:p>
            <w:pPr>
              <w:pStyle w:val="Compact"/>
            </w:pPr>
            <w:r>
              <w:t xml:space="preserve">Estimate</w:t>
            </w:r>
          </w:p>
        </w:tc>
      </w:tr>
      <w:tr>
        <w:tc>
          <w:tcPr>
            <w:tcW w:w="4123" w:type="dxa"/>
          </w:tcPr>
          <w:p>
            <w:pPr>
              <w:pStyle w:val="Compact"/>
            </w:pPr>
            <w:r>
              <w:t xml:space="preserve">EC2 t2.medium (runtime + OpenSearch)</w:t>
            </w:r>
          </w:p>
        </w:tc>
        <w:tc>
          <w:tcPr>
            <w:tcW w:w="4426" w:type="dxa"/>
          </w:tcPr>
          <w:p>
            <w:pPr>
              <w:pStyle w:val="Compact"/>
            </w:pPr>
            <w:r>
              <w:t xml:space="preserve">~$0.046/h, stopped outside working hours</w:t>
            </w:r>
          </w:p>
        </w:tc>
        <w:tc>
          <w:tcPr>
            <w:tcW w:w="1531" w:type="dxa"/>
          </w:tcPr>
          <w:p>
            <w:pPr>
              <w:pStyle w:val="Compact"/>
            </w:pPr>
            <w:r>
              <w:t xml:space="preserve">$25</w:t>
            </w:r>
          </w:p>
        </w:tc>
      </w:tr>
      <w:tr>
        <w:tc>
          <w:tcPr>
            <w:tcW w:w="4123" w:type="dxa"/>
          </w:tcPr>
          <w:p>
            <w:pPr>
              <w:pStyle w:val="Compact"/>
            </w:pPr>
            <w:r>
              <w:t xml:space="preserve">Lambda, S3, SSM, CloudWatch, ECR</w:t>
            </w:r>
          </w:p>
        </w:tc>
        <w:tc>
          <w:tcPr>
            <w:tcW w:w="4426" w:type="dxa"/>
          </w:tcPr>
          <w:p>
            <w:pPr>
              <w:pStyle w:val="Compact"/>
            </w:pPr>
            <w:r>
              <w:t xml:space="preserve">Pilot volumes are inside free tier or a few cents</w:t>
            </w:r>
          </w:p>
        </w:tc>
        <w:tc>
          <w:tcPr>
            <w:tcW w:w="1531" w:type="dxa"/>
          </w:tcPr>
          <w:p>
            <w:pPr>
              <w:pStyle w:val="Compact"/>
            </w:pPr>
            <w:r>
              <w:t xml:space="preserve">$20</w:t>
            </w:r>
          </w:p>
        </w:tc>
      </w:tr>
      <w:tr>
        <w:tc>
          <w:tcPr>
            <w:tcW w:w="4123" w:type="dxa"/>
          </w:tcPr>
          <w:p>
            <w:pPr>
              <w:pStyle w:val="Compact"/>
            </w:pPr>
            <w:r>
              <w:t xml:space="preserve">Model, eval runs on the small model</w:t>
            </w:r>
          </w:p>
        </w:tc>
        <w:tc>
          <w:tcPr>
            <w:tcW w:w="4426" w:type="dxa"/>
          </w:tcPr>
          <w:p>
            <w:pPr>
              <w:pStyle w:val="Compact"/>
            </w:pPr>
            <w:r>
              <w:t xml:space="preserve">~60 CI runs × 150 cases × ~$0.02</w:t>
            </w:r>
          </w:p>
        </w:tc>
        <w:tc>
          <w:tcPr>
            <w:tcW w:w="1531" w:type="dxa"/>
          </w:tcPr>
          <w:p>
            <w:pPr>
              <w:pStyle w:val="Compact"/>
            </w:pPr>
            <w:r>
              <w:t xml:space="preserve">$180</w:t>
            </w:r>
          </w:p>
        </w:tc>
      </w:tr>
      <w:tr>
        <w:tc>
          <w:tcPr>
            <w:tcW w:w="4123" w:type="dxa"/>
          </w:tcPr>
          <w:p>
            <w:pPr>
              <w:pStyle w:val="Compact"/>
            </w:pPr>
            <w:r>
              <w:t xml:space="preserve">Model, eval runs on the demo model</w:t>
            </w:r>
          </w:p>
        </w:tc>
        <w:tc>
          <w:tcPr>
            <w:tcW w:w="4426" w:type="dxa"/>
          </w:tcPr>
          <w:p>
            <w:pPr>
              <w:pStyle w:val="Compact"/>
            </w:pPr>
            <w:r>
              <w:t xml:space="preserve">~15 runs × 150 cases × ~$0.14</w:t>
            </w:r>
          </w:p>
        </w:tc>
        <w:tc>
          <w:tcPr>
            <w:tcW w:w="1531" w:type="dxa"/>
          </w:tcPr>
          <w:p>
            <w:pPr>
              <w:pStyle w:val="Compact"/>
            </w:pPr>
            <w:r>
              <w:t xml:space="preserve">$315</w:t>
            </w:r>
          </w:p>
        </w:tc>
      </w:tr>
      <w:tr>
        <w:tc>
          <w:tcPr>
            <w:tcW w:w="4123" w:type="dxa"/>
          </w:tcPr>
          <w:p>
            <w:pPr>
              <w:pStyle w:val="Compact"/>
            </w:pPr>
            <w:r>
              <w:t xml:space="preserve">Model, development and demos</w:t>
            </w:r>
          </w:p>
        </w:tc>
        <w:tc>
          <w:tcPr>
            <w:tcW w:w="4426" w:type="dxa"/>
          </w:tcPr>
          <w:p>
            <w:pPr>
              <w:pStyle w:val="Compact"/>
            </w:pPr>
            <w:r>
              <w:t xml:space="preserve">Allowance</w:t>
            </w:r>
          </w:p>
        </w:tc>
        <w:tc>
          <w:tcPr>
            <w:tcW w:w="1531" w:type="dxa"/>
          </w:tcPr>
          <w:p>
            <w:pPr>
              <w:pStyle w:val="Compact"/>
            </w:pPr>
            <w:r>
              <w:t xml:space="preserve">$200</w:t>
            </w:r>
          </w:p>
        </w:tc>
      </w:tr>
      <w:tr>
        <w:tc>
          <w:tcPr>
            <w:tcW w:w="4123" w:type="dxa"/>
          </w:tcPr>
          <w:p>
            <w:pPr>
              <w:pStyle w:val="Compact"/>
            </w:pPr>
            <w:r>
              <w:rPr>
                <w:b/>
                <w:bCs/>
              </w:rPr>
              <w:t xml:space="preserve">Estimate</w:t>
            </w:r>
          </w:p>
        </w:tc>
        <w:tc>
          <w:tcPr>
            <w:tcW w:w="4426" w:type="dxa"/>
          </w:tcPr>
          <w:p>
            <w:pPr>
              <w:pStyle w:val="Compact"/>
            </w:pPr>
          </w:p>
        </w:tc>
        <w:tc>
          <w:tcPr>
            <w:tcW w:w="1531" w:type="dxa"/>
          </w:tcPr>
          <w:p>
            <w:pPr>
              <w:pStyle w:val="Compact"/>
            </w:pPr>
            <w:r>
              <w:rPr>
                <w:b/>
                <w:bCs/>
              </w:rPr>
              <w:t xml:space="preserve">~$740</w:t>
            </w:r>
          </w:p>
        </w:tc>
      </w:tr>
    </w:tbl>
    <w:p>
      <w:pPr>
        <w:pStyle w:val="BodyText"/>
      </w:pPr>
      <w:r>
        <w:t xml:space="preserve">The cap is twice the estimate because model prices and token counts per claim are estimates until Week 3 measures them. If they are higher, the first lever is to run more of the eval suite on the small model.</w:t>
      </w:r>
    </w:p>
    <w:bookmarkEnd w:id="26"/>
    <w:bookmarkStart w:id="27" w:name="Xdd1f447418dc9fd9ee574f35ccec5a7f5bf7982"/>
    <w:p>
      <w:pPr>
        <w:pStyle w:val="Heading2"/>
      </w:pPr>
      <w:r>
        <w:t xml:space="preserve">What production would cost to run (not part of this SoW, for the CFO)</w:t>
      </w:r>
    </w:p>
    <w:tbl>
      <w:tblPr>
        <w:tblStyle w:val="Table"/>
        <w:tblW w:type="dxa" w:w="10080"/>
        <w:tblLayout w:type="fixed"/>
        <w:tblLook w:firstRow="1" w:lastRow="0" w:firstColumn="0" w:lastColumn="0" w:noHBand="0" w:noVBand="0" w:val="0020"/>
      </w:tblPr>
      <w:tblGrid>
        <w:gridCol w:w="3073"/>
        <w:gridCol w:w="4459"/>
        <w:gridCol w:w="2548"/>
      </w:tblGrid>
      <w:tr>
        <w:trPr>
          <w:tblHeader w:val="on"/>
        </w:trPr>
        <w:tc>
          <w:tcPr>
            <w:tcW w:w="3073" w:type="dxa"/>
          </w:tcPr>
          <w:p>
            <w:pPr>
              <w:pStyle w:val="Compact"/>
            </w:pPr>
            <w:r>
              <w:t xml:space="preserve">Item</w:t>
            </w:r>
          </w:p>
        </w:tc>
        <w:tc>
          <w:tcPr>
            <w:tcW w:w="4459" w:type="dxa"/>
          </w:tcPr>
          <w:p>
            <w:pPr>
              <w:pStyle w:val="Compact"/>
            </w:pPr>
            <w:r>
              <w:t xml:space="preserve">Assumption</w:t>
            </w:r>
          </w:p>
        </w:tc>
        <w:tc>
          <w:tcPr>
            <w:tcW w:w="2548" w:type="dxa"/>
          </w:tcPr>
          <w:p>
            <w:pPr>
              <w:pStyle w:val="Compact"/>
            </w:pPr>
            <w:r>
              <w:t xml:space="preserve">Monthly</w:t>
            </w:r>
          </w:p>
        </w:tc>
      </w:tr>
      <w:tr>
        <w:tc>
          <w:tcPr>
            <w:tcW w:w="3073" w:type="dxa"/>
          </w:tcPr>
          <w:p>
            <w:pPr>
              <w:pStyle w:val="Compact"/>
            </w:pPr>
            <w:r>
              <w:t xml:space="preserve">Model calls</w:t>
            </w:r>
          </w:p>
        </w:tc>
        <w:tc>
          <w:tcPr>
            <w:tcW w:w="4459" w:type="dxa"/>
          </w:tcPr>
          <w:p>
            <w:pPr>
              <w:pStyle w:val="Compact"/>
            </w:pPr>
            <w:r>
              <w:t xml:space="preserve">3,880 claims (CMS report, Q-06) × ~$0.14 (four calls on the demo-tier model)</w:t>
            </w:r>
          </w:p>
        </w:tc>
        <w:tc>
          <w:tcPr>
            <w:tcW w:w="2548" w:type="dxa"/>
          </w:tcPr>
          <w:p>
            <w:pPr>
              <w:pStyle w:val="Compact"/>
            </w:pPr>
            <w:r>
              <w:t xml:space="preserve">~$545</w:t>
            </w:r>
          </w:p>
        </w:tc>
      </w:tr>
      <w:tr>
        <w:tc>
          <w:tcPr>
            <w:tcW w:w="3073" w:type="dxa"/>
          </w:tcPr>
          <w:p>
            <w:pPr>
              <w:pStyle w:val="Compact"/>
            </w:pPr>
            <w:r>
              <w:t xml:space="preserve">Hosting (container, search, Lambda, logs)</w:t>
            </w:r>
          </w:p>
        </w:tc>
        <w:tc>
          <w:tcPr>
            <w:tcW w:w="4459" w:type="dxa"/>
          </w:tcPr>
          <w:p>
            <w:pPr>
              <w:pStyle w:val="Compact"/>
            </w:pPr>
            <w:r>
              <w:t xml:space="preserve">Small always-on footprint</w:t>
            </w:r>
          </w:p>
        </w:tc>
        <w:tc>
          <w:tcPr>
            <w:tcW w:w="2548" w:type="dxa"/>
          </w:tcPr>
          <w:p>
            <w:pPr>
              <w:pStyle w:val="Compact"/>
            </w:pPr>
            <w:r>
              <w:t xml:space="preserve">~$400</w:t>
            </w:r>
          </w:p>
        </w:tc>
      </w:tr>
      <w:tr>
        <w:tc>
          <w:tcPr>
            <w:tcW w:w="3073" w:type="dxa"/>
          </w:tcPr>
          <w:p>
            <w:pPr>
              <w:pStyle w:val="Compact"/>
            </w:pPr>
            <w:r>
              <w:rPr>
                <w:b/>
                <w:bCs/>
              </w:rPr>
              <w:t xml:space="preserve">Run cost</w:t>
            </w:r>
          </w:p>
        </w:tc>
        <w:tc>
          <w:tcPr>
            <w:tcW w:w="4459" w:type="dxa"/>
          </w:tcPr>
          <w:p>
            <w:pPr>
              <w:pStyle w:val="Compact"/>
            </w:pPr>
          </w:p>
        </w:tc>
        <w:tc>
          <w:tcPr>
            <w:tcW w:w="2548" w:type="dxa"/>
          </w:tcPr>
          <w:p>
            <w:pPr>
              <w:pStyle w:val="Compact"/>
            </w:pPr>
            <w:r>
              <w:rPr>
                <w:b/>
                <w:bCs/>
              </w:rPr>
              <w:t xml:space="preserve">~$945/month ≈ $0.24 per claim</w:t>
            </w:r>
          </w:p>
        </w:tc>
      </w:tr>
    </w:tbl>
    <w:p>
      <w:pPr>
        <w:pStyle w:val="BodyText"/>
      </w:pPr>
      <w:r>
        <w:rPr>
          <w:b/>
          <w:bCs/>
        </w:rPr>
        <w:t xml:space="preserve">Break-even, stated as minutes saved.</w:t>
      </w:r>
      <w:r>
        <w:t xml:space="preserve"> </w:t>
      </w:r>
      <w:r>
        <w:t xml:space="preserve">At an assumed loaded adjuster cost of $48/hour (to be confirmed by Dana), one minute saved per claim is worth $0.80. Covering the run cost alone takes</w:t>
      </w:r>
      <w:r>
        <w:t xml:space="preserve"> </w:t>
      </w:r>
      <w:r>
        <w:rPr>
          <w:b/>
          <w:bCs/>
        </w:rPr>
        <w:t xml:space="preserve">about 0.3 minutes saved per claim</w:t>
      </w:r>
      <w:r>
        <w:t xml:space="preserve">. Covering the run cost and also paying back the pilot fees within 12 months takes</w:t>
      </w:r>
      <w:r>
        <w:t xml:space="preserve"> </w:t>
      </w:r>
      <w:r>
        <w:rPr>
          <w:b/>
          <w:bCs/>
        </w:rPr>
        <w:t xml:space="preserve">about 2 minutes saved per claim</w:t>
      </w:r>
      <w:r>
        <w:t xml:space="preserve">, against a 64-minute average first decision today (CMS report, Q-06). The pilot doesn’t claim a time saving. It measures one. W5 reports the measured first-decision time for the pilot adjusters next to this break-even line.</w:t>
      </w:r>
    </w:p>
    <w:bookmarkEnd w:id="27"/>
    <w:bookmarkStart w:id="28" w:name="Xbed124e08e227299565d5989ca005f9d5697109"/>
    <w:p>
      <w:pPr>
        <w:pStyle w:val="Heading2"/>
      </w:pPr>
      <w:r>
        <w:t xml:space="preserve">Assumptions (if one breaks, it triggers a change request)</w:t>
      </w:r>
    </w:p>
    <w:p>
      <w:pPr>
        <w:pStyle w:val="Compact"/>
        <w:numPr>
          <w:ilvl w:val="0"/>
          <w:numId w:val="1004"/>
        </w:numPr>
      </w:pPr>
      <w:r>
        <w:t xml:space="preserve">Scope is exactly SoW §2: one line of business (auto physical damage), four decision codes, three read-only systems.</w:t>
      </w:r>
    </w:p>
    <w:p>
      <w:pPr>
        <w:pStyle w:val="Compact"/>
        <w:numPr>
          <w:ilvl w:val="0"/>
          <w:numId w:val="1004"/>
        </w:numPr>
      </w:pPr>
      <w:r>
        <w:t xml:space="preserve">The mock systems serve the de-identified export. If the real CMS or document-store APIs replace them, that is a change.</w:t>
      </w:r>
    </w:p>
    <w:p>
      <w:pPr>
        <w:pStyle w:val="Compact"/>
        <w:numPr>
          <w:ilvl w:val="0"/>
          <w:numId w:val="1004"/>
        </w:numPr>
      </w:pPr>
      <w:r>
        <w:t xml:space="preserve">Bob Reyes gives 2 hours a week to labelling. If labels slip by more than 3 business days, the gate moves (SoW §5) with no fee impact, but extra FDE time spent waiting is billable within the cap.</w:t>
      </w:r>
    </w:p>
    <w:p>
      <w:pPr>
        <w:pStyle w:val="Compact"/>
        <w:numPr>
          <w:ilvl w:val="0"/>
          <w:numId w:val="1004"/>
        </w:numPr>
      </w:pPr>
      <w:r>
        <w:t xml:space="preserve">AWS permissions in SoW CD-1 are available by W2 Friday. If Cognito is unavailable, the JWT fallback in DEC-012 is in scope at no extra cost.</w:t>
      </w:r>
    </w:p>
    <w:p>
      <w:pPr>
        <w:pStyle w:val="Compact"/>
        <w:numPr>
          <w:ilvl w:val="0"/>
          <w:numId w:val="1004"/>
        </w:numPr>
      </w:pPr>
      <w:r>
        <w:t xml:space="preserve">The policy manual stays frozen at 12 clauses for the pilot (CD-5).</w:t>
      </w:r>
    </w:p>
    <w:p>
      <w:pPr>
        <w:pStyle w:val="Compact"/>
        <w:numPr>
          <w:ilvl w:val="0"/>
          <w:numId w:val="1004"/>
        </w:numPr>
      </w:pPr>
      <w:r>
        <w:t xml:space="preserve">One model vendor (OpenAI). Comparing vendors on the eval set is a separate, optional piece of work.</w:t>
      </w:r>
    </w:p>
    <w:bookmarkEnd w:id="28"/>
    <w:bookmarkStart w:id="29" w:name="decision-needed"/>
    <w:p>
      <w:pPr>
        <w:pStyle w:val="Heading2"/>
      </w:pPr>
      <w:r>
        <w:t xml:space="preserve">Decision needed</w:t>
      </w:r>
    </w:p>
    <w:p>
      <w:pPr>
        <w:pStyle w:val="FirstParagraph"/>
      </w:pPr>
      <w:r>
        <w:t xml:space="preserve">Dana and the CFO approve the cap and the pass-through ceiling so the SoW can be signed this week (SoW §10).</w:t>
      </w:r>
    </w:p>
    <w:bookmarkEnd w:id="29"/>
    <w:bookmarkEnd w:id="30"/>
    <w:bookmarkStart w:id="46" w:name="architecture"/>
    <w:p>
      <w:pPr>
        <w:pStyle w:val="Heading1"/>
      </w:pPr>
      <w:r>
        <w:t xml:space="preserve">3 · Architecture</w:t>
      </w:r>
    </w:p>
    <w:p>
      <w:pPr>
        <w:pStyle w:val="FirstParagraph"/>
      </w:pPr>
      <w:r>
        <w:t xml:space="preserve">Version 1.0 · 2026-10-07 · For the W2 architecture review (Marcus Chen, Tom Ngata)</w:t>
      </w:r>
      <w:r>
        <w:t xml:space="preserve"> </w:t>
      </w:r>
      <w:r>
        <w:t xml:space="preserve">Diagram sources ship alongside this document as Mermaid files.</w:t>
      </w:r>
    </w:p>
    <w:p>
      <w:pPr>
        <w:pStyle w:val="BodyText"/>
      </w:pPr>
      <w:r>
        <w:t xml:space="preserve">The design follows three rules from Week 1, and every arrow below exists to enforce one of them:</w:t>
      </w:r>
    </w:p>
    <w:p>
      <w:pPr>
        <w:pStyle w:val="Compact"/>
        <w:numPr>
          <w:ilvl w:val="0"/>
          <w:numId w:val="1005"/>
        </w:numPr>
      </w:pPr>
      <w:r>
        <w:rPr>
          <w:b/>
          <w:bCs/>
        </w:rPr>
        <w:t xml:space="preserve">Deterministic code owns money, access control and arithmetic. The model owns judgment</w:t>
      </w:r>
      <w:r>
        <w:t xml:space="preserve"> </w:t>
      </w:r>
      <w:r>
        <w:t xml:space="preserve">(DEC-002).</w:t>
      </w:r>
    </w:p>
    <w:p>
      <w:pPr>
        <w:pStyle w:val="Compact"/>
        <w:numPr>
          <w:ilvl w:val="0"/>
          <w:numId w:val="1005"/>
        </w:numPr>
      </w:pPr>
      <w:r>
        <w:rPr>
          <w:b/>
          <w:bCs/>
        </w:rPr>
        <w:t xml:space="preserve">Access is decided before any agent runs, and the model never learns who is asking</w:t>
      </w:r>
      <w:r>
        <w:t xml:space="preserve"> </w:t>
      </w:r>
      <w:r>
        <w:t xml:space="preserve">(DEC-005).</w:t>
      </w:r>
    </w:p>
    <w:p>
      <w:pPr>
        <w:pStyle w:val="Compact"/>
        <w:numPr>
          <w:ilvl w:val="0"/>
          <w:numId w:val="1005"/>
        </w:numPr>
      </w:pPr>
      <w:r>
        <w:rPr>
          <w:b/>
          <w:bCs/>
        </w:rPr>
        <w:t xml:space="preserve">Nothing reaches a client system without an adjuster’s confirmation.</w:t>
      </w:r>
      <w:r>
        <w:t xml:space="preserve"> </w:t>
      </w:r>
      <w:r>
        <w:t xml:space="preserve">The pilot has no write path at all (DEC-001).</w:t>
      </w:r>
    </w:p>
    <w:bookmarkStart w:id="34" w:name="view-1-system-context-and-data-flow"/>
    <w:p>
      <w:pPr>
        <w:pStyle w:val="Heading2"/>
      </w:pPr>
      <w:r>
        <w:t xml:space="preserve">View 1 · System context and data flow</w:t>
      </w:r>
    </w:p>
    <w:p>
      <w:pPr>
        <w:sectPr>
          <w:footerReference w:type="default" r:id="rIdFtr1"/>
          <w:pgSz w:w="12240" w:h="15840"/>
          <w:pgMar w:top="1080" w:right="1080" w:bottom="1080" w:left="1080" w:header="576" w:footer="576" w:gutter="0"/>
        </w:sectPr>
      </w:pPr>
    </w:p>
    <w:p>
      <w:pPr>
        <w:pStyle w:val="CaptionedFigure"/>
      </w:pPr>
      <w:r>
        <w:drawing>
          <wp:inline>
            <wp:extent cx="8229600" cy="4863687"/>
            <wp:effectExtent b="0" l="0" r="0" t="0"/>
            <wp:docPr descr="Figure 1 — System context and data flow (numbered arrows ① to ⑩ follow one claim)" title="" id="32" name="Picture"/>
            <a:graphic>
              <a:graphicData uri="http://schemas.openxmlformats.org/drawingml/2006/picture">
                <pic:pic>
                  <pic:nvPicPr>
                    <pic:cNvPr descr="deliverables/architecture/view1_context.png" id="33" name="Picture"/>
                    <pic:cNvPicPr>
                      <a:picLocks noChangeArrowheads="1" noChangeAspect="1"/>
                    </pic:cNvPicPr>
                  </pic:nvPicPr>
                  <pic:blipFill>
                    <a:blip r:embed="rId31"/>
                    <a:stretch>
                      <a:fillRect/>
                    </a:stretch>
                  </pic:blipFill>
                  <pic:spPr bwMode="auto">
                    <a:xfrm>
                      <a:off x="0" y="0"/>
                      <a:ext cx="8229600" cy="4863687"/>
                    </a:xfrm>
                    <a:prstGeom prst="rect">
                      <a:avLst/>
                    </a:prstGeom>
                    <a:noFill/>
                    <a:ln w="9525">
                      <a:noFill/>
                      <a:headEnd/>
                      <a:tailEnd/>
                    </a:ln>
                  </pic:spPr>
                </pic:pic>
              </a:graphicData>
            </a:graphic>
          </wp:inline>
        </w:drawing>
      </w:r>
    </w:p>
    <w:p>
      <w:pPr>
        <w:pStyle w:val="ImageCaption"/>
      </w:pPr>
      <w:r>
        <w:t xml:space="preserve">Figure 1 — System context and data flow (numbered arrows ① to ⑩ follow one claim)</w:t>
      </w:r>
    </w:p>
    <w:p>
      <w:pPr>
        <w:sectPr>
          <w:footerReference w:type="default" r:id="rIdFtr1"/>
          <w:pgSz w:w="15840" w:h="12240" w:orient="landscape"/>
          <w:pgMar w:top="900" w:right="900" w:bottom="900" w:left="900" w:header="576" w:footer="576" w:gutter="0"/>
        </w:sectPr>
      </w:pPr>
    </w:p>
    <w:bookmarkEnd w:id="34"/>
    <w:bookmarkStart w:id="38" w:name="view-2-trust-boundaries"/>
    <w:p>
      <w:pPr>
        <w:pStyle w:val="Heading2"/>
      </w:pPr>
      <w:r>
        <w:t xml:space="preserve">View 2 · Trust boundaries</w:t>
      </w:r>
    </w:p>
    <w:p>
      <w:pPr>
        <w:pStyle w:val="CaptionedFigure"/>
      </w:pPr>
      <w:r>
        <w:drawing>
          <wp:inline>
            <wp:extent cx="5334000" cy="638417"/>
            <wp:effectExtent b="0" l="0" r="0" t="0"/>
            <wp:docPr descr="Figure 2 — Trust boundaries, each tested by an eval slice" title="" id="36" name="Picture"/>
            <a:graphic>
              <a:graphicData uri="http://schemas.openxmlformats.org/drawingml/2006/picture">
                <pic:pic>
                  <pic:nvPicPr>
                    <pic:cNvPr descr="deliverables/architecture/view2_trust_boundaries.png" id="37" name="Picture"/>
                    <pic:cNvPicPr>
                      <a:picLocks noChangeArrowheads="1" noChangeAspect="1"/>
                    </pic:cNvPicPr>
                  </pic:nvPicPr>
                  <pic:blipFill>
                    <a:blip r:embed="rId35"/>
                    <a:stretch>
                      <a:fillRect/>
                    </a:stretch>
                  </pic:blipFill>
                  <pic:spPr bwMode="auto">
                    <a:xfrm>
                      <a:off x="0" y="0"/>
                      <a:ext cx="5334000" cy="638417"/>
                    </a:xfrm>
                    <a:prstGeom prst="rect">
                      <a:avLst/>
                    </a:prstGeom>
                    <a:noFill/>
                    <a:ln w="9525">
                      <a:noFill/>
                      <a:headEnd/>
                      <a:tailEnd/>
                    </a:ln>
                  </pic:spPr>
                </pic:pic>
              </a:graphicData>
            </a:graphic>
          </wp:inline>
        </w:drawing>
      </w:r>
    </w:p>
    <w:p>
      <w:pPr>
        <w:pStyle w:val="ImageCaption"/>
      </w:pPr>
      <w:r>
        <w:t xml:space="preserve">Figure 2 — Trust boundaries, each tested by an eval slice</w:t>
      </w:r>
    </w:p>
    <w:p>
      <w:pPr>
        <w:pStyle w:val="BodyText"/>
      </w:pPr>
      <w:r>
        <w:t xml:space="preserve">Each boundary has an eval slice that tests it. Boundary 1 is the expired, missing and forged tokens (W4). Boundary 2 is the two-user test (AC-5). Boundary 3 is the adversarial</w:t>
      </w:r>
      <w:r>
        <w:t xml:space="preserve"> </w:t>
      </w:r>
      <w:r>
        <w:t xml:space="preserve">“act as senior adjuster”</w:t>
      </w:r>
      <w:r>
        <w:t xml:space="preserve"> </w:t>
      </w:r>
      <w:r>
        <w:t xml:space="preserve">and cross-record leakage cases (W5). Boundary 4 is the invented-figure and uncited-coverage cases (W3). Boundary 5 is the forced auto-decision cases (W3/W5).</w:t>
      </w:r>
    </w:p>
    <w:bookmarkEnd w:id="38"/>
    <w:bookmarkStart w:id="42" w:name="view-3-one-claim-end-to-end"/>
    <w:p>
      <w:pPr>
        <w:pStyle w:val="Heading2"/>
      </w:pPr>
      <w:r>
        <w:t xml:space="preserve">View 3 · One claim, end to end</w:t>
      </w:r>
    </w:p>
    <w:p>
      <w:pPr>
        <w:pStyle w:val="CaptionedFigure"/>
      </w:pPr>
      <w:r>
        <w:drawing>
          <wp:inline>
            <wp:extent cx="5334000" cy="3500240"/>
            <wp:effectExtent b="0" l="0" r="0" t="0"/>
            <wp:docPr descr="Figure 3 — One claim, end to end" title="" id="40" name="Picture"/>
            <a:graphic>
              <a:graphicData uri="http://schemas.openxmlformats.org/drawingml/2006/picture">
                <pic:pic>
                  <pic:nvPicPr>
                    <pic:cNvPr descr="deliverables/architecture/view3_sequence.png" id="41" name="Picture"/>
                    <pic:cNvPicPr>
                      <a:picLocks noChangeArrowheads="1" noChangeAspect="1"/>
                    </pic:cNvPicPr>
                  </pic:nvPicPr>
                  <pic:blipFill>
                    <a:blip r:embed="rId39"/>
                    <a:stretch>
                      <a:fillRect/>
                    </a:stretch>
                  </pic:blipFill>
                  <pic:spPr bwMode="auto">
                    <a:xfrm>
                      <a:off x="0" y="0"/>
                      <a:ext cx="5334000" cy="3500240"/>
                    </a:xfrm>
                    <a:prstGeom prst="rect">
                      <a:avLst/>
                    </a:prstGeom>
                    <a:noFill/>
                    <a:ln w="9525">
                      <a:noFill/>
                      <a:headEnd/>
                      <a:tailEnd/>
                    </a:ln>
                  </pic:spPr>
                </pic:pic>
              </a:graphicData>
            </a:graphic>
          </wp:inline>
        </w:drawing>
      </w:r>
    </w:p>
    <w:p>
      <w:pPr>
        <w:pStyle w:val="ImageCaption"/>
      </w:pPr>
      <w:r>
        <w:t xml:space="preserve">Figure 3 — One claim, end to end</w:t>
      </w:r>
    </w:p>
    <w:bookmarkEnd w:id="42"/>
    <w:bookmarkStart w:id="43" w:name="components"/>
    <w:p>
      <w:pPr>
        <w:pStyle w:val="Heading2"/>
      </w:pPr>
      <w:r>
        <w:t xml:space="preserve">Components</w:t>
      </w:r>
    </w:p>
    <w:tbl>
      <w:tblPr>
        <w:tblStyle w:val="Table"/>
        <w:tblW w:type="dxa" w:w="10080"/>
        <w:tblLayout w:type="fixed"/>
        <w:tblLook w:firstRow="1" w:lastRow="0" w:firstColumn="0" w:lastColumn="0" w:noHBand="0" w:noVBand="0" w:val="0020"/>
      </w:tblPr>
      <w:tblGrid>
        <w:gridCol w:w="1603"/>
        <w:gridCol w:w="2723"/>
        <w:gridCol w:w="3263"/>
        <w:gridCol w:w="2491"/>
      </w:tblGrid>
      <w:tr>
        <w:trPr>
          <w:tblHeader w:val="on"/>
        </w:trPr>
        <w:tc>
          <w:tcPr>
            <w:tcW w:w="1603" w:type="dxa"/>
          </w:tcPr>
          <w:p>
            <w:pPr>
              <w:pStyle w:val="Compact"/>
            </w:pPr>
            <w:r>
              <w:t xml:space="preserve">Component</w:t>
            </w:r>
          </w:p>
        </w:tc>
        <w:tc>
          <w:tcPr>
            <w:tcW w:w="2723" w:type="dxa"/>
          </w:tcPr>
          <w:p>
            <w:pPr>
              <w:pStyle w:val="Compact"/>
            </w:pPr>
            <w:r>
              <w:t xml:space="preserve">Responsibility</w:t>
            </w:r>
          </w:p>
        </w:tc>
        <w:tc>
          <w:tcPr>
            <w:tcW w:w="3263" w:type="dxa"/>
          </w:tcPr>
          <w:p>
            <w:pPr>
              <w:pStyle w:val="Compact"/>
            </w:pPr>
            <w:r>
              <w:t xml:space="preserve">Technology</w:t>
            </w:r>
          </w:p>
        </w:tc>
        <w:tc>
          <w:tcPr>
            <w:tcW w:w="2491" w:type="dxa"/>
          </w:tcPr>
          <w:p>
            <w:pPr>
              <w:pStyle w:val="Compact"/>
            </w:pPr>
            <w:r>
              <w:t xml:space="preserve">Why this, not the alternative</w:t>
            </w:r>
          </w:p>
        </w:tc>
      </w:tr>
      <w:tr>
        <w:tc>
          <w:tcPr>
            <w:tcW w:w="1603" w:type="dxa"/>
          </w:tcPr>
          <w:p>
            <w:pPr>
              <w:pStyle w:val="Compact"/>
            </w:pPr>
            <w:r>
              <w:t xml:space="preserve">Adjuster console</w:t>
            </w:r>
          </w:p>
        </w:tc>
        <w:tc>
          <w:tcPr>
            <w:tcW w:w="2723" w:type="dxa"/>
          </w:tcPr>
          <w:p>
            <w:pPr>
              <w:pStyle w:val="Compact"/>
            </w:pPr>
            <w:r>
              <w:t xml:space="preserve">Pick a claim, show the card, show 403s honestly</w:t>
            </w:r>
          </w:p>
        </w:tc>
        <w:tc>
          <w:tcPr>
            <w:tcW w:w="3263" w:type="dxa"/>
          </w:tcPr>
          <w:p>
            <w:pPr>
              <w:pStyle w:val="Compact"/>
            </w:pPr>
            <w:r>
              <w:t xml:space="preserve">React (static), served by the runtime</w:t>
            </w:r>
          </w:p>
        </w:tc>
        <w:tc>
          <w:tcPr>
            <w:tcW w:w="2491" w:type="dxa"/>
          </w:tcPr>
          <w:p>
            <w:pPr>
              <w:pStyle w:val="Compact"/>
            </w:pPr>
            <w:r>
              <w:t xml:space="preserve">No business logic in the UI. A Streamlit server would be one more thing to secure for no gain</w:t>
            </w:r>
          </w:p>
        </w:tc>
      </w:tr>
      <w:tr>
        <w:tc>
          <w:tcPr>
            <w:tcW w:w="1603" w:type="dxa"/>
          </w:tcPr>
          <w:p>
            <w:pPr>
              <w:pStyle w:val="Compact"/>
            </w:pPr>
            <w:r>
              <w:t xml:space="preserve">Agent runtime</w:t>
            </w:r>
          </w:p>
        </w:tc>
        <w:tc>
          <w:tcPr>
            <w:tcW w:w="2723" w:type="dxa"/>
          </w:tcPr>
          <w:p>
            <w:pPr>
              <w:pStyle w:val="Compact"/>
            </w:pPr>
            <w:r>
              <w:t xml:space="preserve">Orchestrate the pipeline, compute signals, validate output</w:t>
            </w:r>
          </w:p>
        </w:tc>
        <w:tc>
          <w:tcPr>
            <w:tcW w:w="3263" w:type="dxa"/>
          </w:tcPr>
          <w:p>
            <w:pPr>
              <w:pStyle w:val="Compact"/>
            </w:pPr>
            <w:r>
              <w:t xml:space="preserve">FastAPI container, OpenAI Agents SDK</w:t>
            </w:r>
          </w:p>
        </w:tc>
        <w:tc>
          <w:tcPr>
            <w:tcW w:w="2491" w:type="dxa"/>
          </w:tcPr>
          <w:p>
            <w:pPr>
              <w:pStyle w:val="Compact"/>
            </w:pPr>
            <w:r>
              <w:t xml:space="preserve">One container image is what CI gates and what gets rolled back</w:t>
            </w:r>
          </w:p>
        </w:tc>
      </w:tr>
      <w:tr>
        <w:tc>
          <w:tcPr>
            <w:tcW w:w="1603" w:type="dxa"/>
          </w:tcPr>
          <w:p>
            <w:pPr>
              <w:pStyle w:val="Compact"/>
            </w:pPr>
            <w:r>
              <w:t xml:space="preserve">Deterministic layer</w:t>
            </w:r>
          </w:p>
        </w:tc>
        <w:tc>
          <w:tcPr>
            <w:tcW w:w="2723" w:type="dxa"/>
          </w:tcPr>
          <w:p>
            <w:pPr>
              <w:pStyle w:val="Compact"/>
            </w:pPr>
            <w:r>
              <w:t xml:space="preserve">Net payable</w:t>
            </w:r>
            <w:r>
              <w:t xml:space="preserve"> </w:t>
            </w:r>
            <w:r>
              <w:rPr>
                <w:rStyle w:val="VerbatimChar"/>
              </w:rPr>
              <w:t xml:space="preserve">max(min(estimate, ACV) − deductible, 0)</w:t>
            </w:r>
            <w:r>
              <w:t xml:space="preserve">, TL ratio, in-force check, deductible by loss type, baseline code</w:t>
            </w:r>
          </w:p>
        </w:tc>
        <w:tc>
          <w:tcPr>
            <w:tcW w:w="3263" w:type="dxa"/>
          </w:tcPr>
          <w:p>
            <w:pPr>
              <w:pStyle w:val="Compact"/>
            </w:pPr>
            <w:r>
              <w:t xml:space="preserve">Plain Python, unit-tested</w:t>
            </w:r>
          </w:p>
        </w:tc>
        <w:tc>
          <w:tcPr>
            <w:tcW w:w="2491" w:type="dxa"/>
          </w:tcPr>
          <w:p>
            <w:pPr>
              <w:pStyle w:val="Compact"/>
            </w:pPr>
            <w:r>
              <w:t xml:space="preserve">DEC-002: a payout figure is never model output</w:t>
            </w:r>
          </w:p>
        </w:tc>
      </w:tr>
      <w:tr>
        <w:tc>
          <w:tcPr>
            <w:tcW w:w="1603" w:type="dxa"/>
          </w:tcPr>
          <w:p>
            <w:pPr>
              <w:pStyle w:val="Compact"/>
            </w:pPr>
            <w:r>
              <w:t xml:space="preserve">Four agents</w:t>
            </w:r>
          </w:p>
        </w:tc>
        <w:tc>
          <w:tcPr>
            <w:tcW w:w="2723" w:type="dxa"/>
          </w:tcPr>
          <w:p>
            <w:pPr>
              <w:pStyle w:val="Compact"/>
            </w:pPr>
            <w:r>
              <w:t xml:space="preserve">Read, apply the manual, explain, recommend</w:t>
            </w:r>
          </w:p>
        </w:tc>
        <w:tc>
          <w:tcPr>
            <w:tcW w:w="3263" w:type="dxa"/>
          </w:tcPr>
          <w:p>
            <w:pPr>
              <w:pStyle w:val="Compact"/>
            </w:pPr>
            <w:r>
              <w:t xml:space="preserve">Strict structured output per stage</w:t>
            </w:r>
          </w:p>
        </w:tc>
        <w:tc>
          <w:tcPr>
            <w:tcW w:w="2491" w:type="dxa"/>
          </w:tcPr>
          <w:p>
            <w:pPr>
              <w:pStyle w:val="Compact"/>
            </w:pPr>
            <w:r>
              <w:t xml:space="preserve">Typed hand-offs make each stage testable on its own</w:t>
            </w:r>
          </w:p>
        </w:tc>
      </w:tr>
      <w:tr>
        <w:tc>
          <w:tcPr>
            <w:tcW w:w="1603" w:type="dxa"/>
          </w:tcPr>
          <w:p>
            <w:pPr>
              <w:pStyle w:val="Compact"/>
            </w:pPr>
            <w:r>
              <w:t xml:space="preserve">Retrieval</w:t>
            </w:r>
          </w:p>
        </w:tc>
        <w:tc>
          <w:tcPr>
            <w:tcW w:w="2723" w:type="dxa"/>
          </w:tcPr>
          <w:p>
            <w:pPr>
              <w:pStyle w:val="Compact"/>
            </w:pPr>
            <w:r>
              <w:t xml:space="preserve">Closed-book clause lookup by loss type and coverage</w:t>
            </w:r>
          </w:p>
        </w:tc>
        <w:tc>
          <w:tcPr>
            <w:tcW w:w="3263" w:type="dxa"/>
          </w:tcPr>
          <w:p>
            <w:pPr>
              <w:pStyle w:val="Compact"/>
            </w:pPr>
            <w:r>
              <w:t xml:space="preserve">OpenSearch BM25, corpus loaded from S3</w:t>
            </w:r>
          </w:p>
        </w:tc>
        <w:tc>
          <w:tcPr>
            <w:tcW w:w="2491" w:type="dxa"/>
          </w:tcPr>
          <w:p>
            <w:pPr>
              <w:pStyle w:val="Compact"/>
            </w:pPr>
            <w:r>
              <w:t xml:space="preserve">12 clauses with exact ids: lexical retrieval is precise and explainable. Vectors are deferred until the manual reaches ~140 clauses (DEC-011)</w:t>
            </w:r>
          </w:p>
        </w:tc>
      </w:tr>
      <w:tr>
        <w:tc>
          <w:tcPr>
            <w:tcW w:w="1603" w:type="dxa"/>
          </w:tcPr>
          <w:p>
            <w:pPr>
              <w:pStyle w:val="Compact"/>
            </w:pPr>
            <w:r>
              <w:t xml:space="preserve">MCP layer</w:t>
            </w:r>
          </w:p>
        </w:tc>
        <w:tc>
          <w:tcPr>
            <w:tcW w:w="2723" w:type="dxa"/>
          </w:tcPr>
          <w:p>
            <w:pPr>
              <w:pStyle w:val="Compact"/>
            </w:pPr>
            <w:r>
              <w:t xml:space="preserve">The only path to client data: authn, authz, audit, typed tools</w:t>
            </w:r>
          </w:p>
        </w:tc>
        <w:tc>
          <w:tcPr>
            <w:tcW w:w="3263" w:type="dxa"/>
          </w:tcPr>
          <w:p>
            <w:pPr>
              <w:pStyle w:val="Compact"/>
            </w:pPr>
            <w:r>
              <w:t xml:space="preserve">Lambda + JWT verification</w:t>
            </w:r>
          </w:p>
        </w:tc>
        <w:tc>
          <w:tcPr>
            <w:tcW w:w="2491" w:type="dxa"/>
          </w:tcPr>
          <w:p>
            <w:pPr>
              <w:pStyle w:val="Compact"/>
            </w:pPr>
            <w:r>
              <w:t xml:space="preserve">One audited choke point, so Security reviews one function, not four agents</w:t>
            </w:r>
          </w:p>
        </w:tc>
      </w:tr>
      <w:tr>
        <w:tc>
          <w:tcPr>
            <w:tcW w:w="1603" w:type="dxa"/>
          </w:tcPr>
          <w:p>
            <w:pPr>
              <w:pStyle w:val="Compact"/>
            </w:pPr>
            <w:r>
              <w:t xml:space="preserve">Mock systems</w:t>
            </w:r>
          </w:p>
        </w:tc>
        <w:tc>
          <w:tcPr>
            <w:tcW w:w="2723" w:type="dxa"/>
          </w:tcPr>
          <w:p>
            <w:pPr>
              <w:pStyle w:val="Compact"/>
            </w:pPr>
            <w:r>
              <w:t xml:space="preserve">Serve the de-identified export in the production shape</w:t>
            </w:r>
          </w:p>
        </w:tc>
        <w:tc>
          <w:tcPr>
            <w:tcW w:w="3263" w:type="dxa"/>
          </w:tcPr>
          <w:p>
            <w:pPr>
              <w:pStyle w:val="Compact"/>
            </w:pPr>
            <w:r>
              <w:t xml:space="preserve">CSV → typed records (see</w:t>
            </w:r>
            <w:r>
              <w:t xml:space="preserve"> </w:t>
            </w:r>
            <w:r>
              <w:rPr>
                <w:rStyle w:val="VerbatimChar"/>
              </w:rPr>
              <w:t xml:space="preserve">06_SYNTHETIC_DATA_SHAPES.md</w:t>
            </w:r>
            <w:r>
              <w:t xml:space="preserve">)</w:t>
            </w:r>
          </w:p>
        </w:tc>
        <w:tc>
          <w:tcPr>
            <w:tcW w:w="2491" w:type="dxa"/>
          </w:tcPr>
          <w:p>
            <w:pPr>
              <w:pStyle w:val="Compact"/>
            </w:pPr>
            <w:r>
              <w:t xml:space="preserve">When the real APIs arrive, the contract stays the same and only the adapter changes</w:t>
            </w:r>
          </w:p>
        </w:tc>
      </w:tr>
      <w:tr>
        <w:tc>
          <w:tcPr>
            <w:tcW w:w="1603" w:type="dxa"/>
          </w:tcPr>
          <w:p>
            <w:pPr>
              <w:pStyle w:val="Compact"/>
            </w:pPr>
            <w:r>
              <w:t xml:space="preserve">Identity</w:t>
            </w:r>
          </w:p>
        </w:tc>
        <w:tc>
          <w:tcPr>
            <w:tcW w:w="2723" w:type="dxa"/>
          </w:tcPr>
          <w:p>
            <w:pPr>
              <w:pStyle w:val="Compact"/>
            </w:pPr>
            <w:r>
              <w:t xml:space="preserve">Users and the four groups</w:t>
            </w:r>
          </w:p>
        </w:tc>
        <w:tc>
          <w:tcPr>
            <w:tcW w:w="3263" w:type="dxa"/>
          </w:tcPr>
          <w:p>
            <w:pPr>
              <w:pStyle w:val="Compact"/>
            </w:pPr>
            <w:r>
              <w:t xml:space="preserve">Cognito user pool; fallback in DEC-012</w:t>
            </w:r>
          </w:p>
        </w:tc>
        <w:tc>
          <w:tcPr>
            <w:tcW w:w="2491" w:type="dxa"/>
          </w:tcPr>
          <w:p>
            <w:pPr>
              <w:pStyle w:val="Compact"/>
            </w:pPr>
            <w:r>
              <w:t xml:space="preserve">Groups map 1:1 to the CMS groups found in discovery</w:t>
            </w:r>
          </w:p>
        </w:tc>
      </w:tr>
      <w:tr>
        <w:tc>
          <w:tcPr>
            <w:tcW w:w="1603" w:type="dxa"/>
          </w:tcPr>
          <w:p>
            <w:pPr>
              <w:pStyle w:val="Compact"/>
            </w:pPr>
            <w:r>
              <w:t xml:space="preserve">Secrets</w:t>
            </w:r>
          </w:p>
        </w:tc>
        <w:tc>
          <w:tcPr>
            <w:tcW w:w="2723" w:type="dxa"/>
          </w:tcPr>
          <w:p>
            <w:pPr>
              <w:pStyle w:val="Compact"/>
            </w:pPr>
            <w:r>
              <w:t xml:space="preserve">OpenAI key, JWT secret</w:t>
            </w:r>
          </w:p>
        </w:tc>
        <w:tc>
          <w:tcPr>
            <w:tcW w:w="3263" w:type="dxa"/>
          </w:tcPr>
          <w:p>
            <w:pPr>
              <w:pStyle w:val="Compact"/>
            </w:pPr>
            <w:r>
              <w:t xml:space="preserve">SSM SecureString via IAM role</w:t>
            </w:r>
          </w:p>
        </w:tc>
        <w:tc>
          <w:tcPr>
            <w:tcW w:w="2491" w:type="dxa"/>
          </w:tcPr>
          <w:p>
            <w:pPr>
              <w:pStyle w:val="Compact"/>
            </w:pPr>
            <w:r>
              <w:t xml:space="preserve">No credential in code, image or CI log</w:t>
            </w:r>
          </w:p>
        </w:tc>
      </w:tr>
      <w:tr>
        <w:tc>
          <w:tcPr>
            <w:tcW w:w="1603" w:type="dxa"/>
          </w:tcPr>
          <w:p>
            <w:pPr>
              <w:pStyle w:val="Compact"/>
            </w:pPr>
            <w:r>
              <w:t xml:space="preserve">CI</w:t>
            </w:r>
          </w:p>
        </w:tc>
        <w:tc>
          <w:tcPr>
            <w:tcW w:w="2723" w:type="dxa"/>
          </w:tcPr>
          <w:p>
            <w:pPr>
              <w:pStyle w:val="Compact"/>
            </w:pPr>
            <w:r>
              <w:t xml:space="preserve">Build → eval gate → push</w:t>
            </w:r>
          </w:p>
        </w:tc>
        <w:tc>
          <w:tcPr>
            <w:tcW w:w="3263" w:type="dxa"/>
          </w:tcPr>
          <w:p>
            <w:pPr>
              <w:pStyle w:val="Compact"/>
            </w:pPr>
            <w:r>
              <w:t xml:space="preserve">GitHub Actions → ECR</w:t>
            </w:r>
          </w:p>
        </w:tc>
        <w:tc>
          <w:tcPr>
            <w:tcW w:w="2491" w:type="dxa"/>
          </w:tcPr>
          <w:p>
            <w:pPr>
              <w:pStyle w:val="Compact"/>
            </w:pPr>
            <w:r>
              <w:t xml:space="preserve">No image reaches ECR unless the gate is green</w:t>
            </w:r>
          </w:p>
        </w:tc>
      </w:tr>
      <w:tr>
        <w:tc>
          <w:tcPr>
            <w:tcW w:w="1603" w:type="dxa"/>
          </w:tcPr>
          <w:p>
            <w:pPr>
              <w:pStyle w:val="Compact"/>
            </w:pPr>
            <w:r>
              <w:t xml:space="preserve">Observability</w:t>
            </w:r>
          </w:p>
        </w:tc>
        <w:tc>
          <w:tcPr>
            <w:tcW w:w="2723" w:type="dxa"/>
          </w:tcPr>
          <w:p>
            <w:pPr>
              <w:pStyle w:val="Compact"/>
            </w:pPr>
            <w:r>
              <w:t xml:space="preserve">Audit trail, error rate, latency</w:t>
            </w:r>
          </w:p>
        </w:tc>
        <w:tc>
          <w:tcPr>
            <w:tcW w:w="3263" w:type="dxa"/>
          </w:tcPr>
          <w:p>
            <w:pPr>
              <w:pStyle w:val="Compact"/>
            </w:pPr>
            <w:r>
              <w:t xml:space="preserve">CloudWatch Logs, dashboard, alarm</w:t>
            </w:r>
          </w:p>
        </w:tc>
        <w:tc>
          <w:tcPr>
            <w:tcW w:w="2491" w:type="dxa"/>
          </w:tcPr>
          <w:p>
            <w:pPr>
              <w:pStyle w:val="Compact"/>
            </w:pPr>
            <w:r>
              <w:t xml:space="preserve">Answers Security’s two W4 questions: who read what, and is it healthy</w:t>
            </w:r>
          </w:p>
        </w:tc>
      </w:tr>
    </w:tbl>
    <w:bookmarkEnd w:id="43"/>
    <w:bookmarkStart w:id="44" w:name="X0111838e5268c63bc15cf3cfb8876e06e943745"/>
    <w:p>
      <w:pPr>
        <w:pStyle w:val="Heading2"/>
      </w:pPr>
      <w:r>
        <w:t xml:space="preserve">Where this differs from the course reference diagram, and why</w:t>
      </w:r>
    </w:p>
    <w:tbl>
      <w:tblPr>
        <w:tblStyle w:val="Table"/>
        <w:tblW w:type="dxa" w:w="10080"/>
        <w:tblLayout w:type="fixed"/>
        <w:tblLook w:firstRow="1" w:lastRow="0" w:firstColumn="0" w:lastColumn="0" w:noHBand="0" w:noVBand="0" w:val="0020"/>
      </w:tblPr>
      <w:tblGrid>
        <w:gridCol w:w="3560"/>
        <w:gridCol w:w="3068"/>
        <w:gridCol w:w="3452"/>
      </w:tblGrid>
      <w:tr>
        <w:trPr>
          <w:tblHeader w:val="on"/>
        </w:trPr>
        <w:tc>
          <w:tcPr>
            <w:tcW w:w="3560" w:type="dxa"/>
          </w:tcPr>
          <w:p>
            <w:pPr>
              <w:pStyle w:val="Compact"/>
            </w:pPr>
            <w:r>
              <w:t xml:space="preserve">Reference diagram</w:t>
            </w:r>
          </w:p>
        </w:tc>
        <w:tc>
          <w:tcPr>
            <w:tcW w:w="3068" w:type="dxa"/>
          </w:tcPr>
          <w:p>
            <w:pPr>
              <w:pStyle w:val="Compact"/>
            </w:pPr>
            <w:r>
              <w:t xml:space="preserve">This design</w:t>
            </w:r>
          </w:p>
        </w:tc>
        <w:tc>
          <w:tcPr>
            <w:tcW w:w="3452" w:type="dxa"/>
          </w:tcPr>
          <w:p>
            <w:pPr>
              <w:pStyle w:val="Compact"/>
            </w:pPr>
            <w:r>
              <w:t xml:space="preserve">Reason</w:t>
            </w:r>
          </w:p>
        </w:tc>
      </w:tr>
      <w:tr>
        <w:tc>
          <w:tcPr>
            <w:tcW w:w="3560" w:type="dxa"/>
          </w:tcPr>
          <w:p>
            <w:pPr>
              <w:pStyle w:val="Compact"/>
            </w:pPr>
            <w:r>
              <w:t xml:space="preserve">Coverage Check</w:t>
            </w:r>
            <w:r>
              <w:t xml:space="preserve"> </w:t>
            </w:r>
            <w:r>
              <w:t xml:space="preserve">“calculates net payable”</w:t>
            </w:r>
          </w:p>
        </w:tc>
        <w:tc>
          <w:tcPr>
            <w:tcW w:w="3068" w:type="dxa"/>
          </w:tcPr>
          <w:p>
            <w:pPr>
              <w:pStyle w:val="Compact"/>
            </w:pPr>
            <w:r>
              <w:t xml:space="preserve">Deterministic layer calculates it; Coverage Check cites it</w:t>
            </w:r>
          </w:p>
        </w:tc>
        <w:tc>
          <w:tcPr>
            <w:tcW w:w="3452" w:type="dxa"/>
          </w:tcPr>
          <w:p>
            <w:pPr>
              <w:pStyle w:val="Compact"/>
            </w:pPr>
            <w:r>
              <w:t xml:space="preserve">DEC-002. The W1 dry run showed the uncapped formula is $4,600 wrong on W1-R03</w:t>
            </w:r>
          </w:p>
        </w:tc>
      </w:tr>
      <w:tr>
        <w:tc>
          <w:tcPr>
            <w:tcW w:w="3560" w:type="dxa"/>
          </w:tcPr>
          <w:p>
            <w:pPr>
              <w:pStyle w:val="Compact"/>
            </w:pPr>
            <w:r>
              <w:t xml:space="preserve">MCP server drawn after Decision Draft</w:t>
            </w:r>
          </w:p>
        </w:tc>
        <w:tc>
          <w:tcPr>
            <w:tcW w:w="3068" w:type="dxa"/>
          </w:tcPr>
          <w:p>
            <w:pPr>
              <w:pStyle w:val="Compact"/>
            </w:pPr>
            <w:r>
              <w:t xml:space="preserve">MCP is called before any agent runs, and is the only data path</w:t>
            </w:r>
          </w:p>
        </w:tc>
        <w:tc>
          <w:tcPr>
            <w:tcW w:w="3452" w:type="dxa"/>
          </w:tcPr>
          <w:p>
            <w:pPr>
              <w:pStyle w:val="Compact"/>
            </w:pPr>
            <w:r>
              <w:t xml:space="preserve">DEC-005. Access has to be decided before the model sees anything</w:t>
            </w:r>
          </w:p>
        </w:tc>
      </w:tr>
      <w:tr>
        <w:tc>
          <w:tcPr>
            <w:tcW w:w="3560" w:type="dxa"/>
          </w:tcPr>
          <w:p>
            <w:pPr>
              <w:pStyle w:val="Compact"/>
            </w:pPr>
            <w:r>
              <w:t xml:space="preserve">Vector search,</w:t>
            </w:r>
            <w:r>
              <w:t xml:space="preserve"> </w:t>
            </w:r>
            <w:r>
              <w:rPr>
                <w:rStyle w:val="VerbatimChar"/>
              </w:rPr>
              <w:t xml:space="preserve">text-embedding-3-large</w:t>
            </w:r>
          </w:p>
        </w:tc>
        <w:tc>
          <w:tcPr>
            <w:tcW w:w="3068" w:type="dxa"/>
          </w:tcPr>
          <w:p>
            <w:pPr>
              <w:pStyle w:val="Compact"/>
            </w:pPr>
            <w:r>
              <w:t xml:space="preserve">BM25 over clause text</w:t>
            </w:r>
          </w:p>
        </w:tc>
        <w:tc>
          <w:tcPr>
            <w:tcW w:w="3452" w:type="dxa"/>
          </w:tcPr>
          <w:p>
            <w:pPr>
              <w:pStyle w:val="Compact"/>
            </w:pPr>
            <w:r>
              <w:t xml:space="preserve">12 clauses with exact ids. Revisit at scale (DEC-011)</w:t>
            </w:r>
          </w:p>
        </w:tc>
      </w:tr>
      <w:tr>
        <w:tc>
          <w:tcPr>
            <w:tcW w:w="3560" w:type="dxa"/>
          </w:tcPr>
          <w:p>
            <w:pPr>
              <w:pStyle w:val="Compact"/>
            </w:pPr>
            <w:r>
              <w:t xml:space="preserve">Streamlit UI</w:t>
            </w:r>
          </w:p>
        </w:tc>
        <w:tc>
          <w:tcPr>
            <w:tcW w:w="3068" w:type="dxa"/>
          </w:tcPr>
          <w:p>
            <w:pPr>
              <w:pStyle w:val="Compact"/>
            </w:pPr>
            <w:r>
              <w:t xml:space="preserve">Static React console</w:t>
            </w:r>
          </w:p>
        </w:tc>
        <w:tc>
          <w:tcPr>
            <w:tcW w:w="3452" w:type="dxa"/>
          </w:tcPr>
          <w:p>
            <w:pPr>
              <w:pStyle w:val="Compact"/>
            </w:pPr>
            <w:r>
              <w:t xml:space="preserve">Less attack surface; console reads only the runtime API</w:t>
            </w:r>
          </w:p>
        </w:tc>
      </w:tr>
      <w:tr>
        <w:tc>
          <w:tcPr>
            <w:tcW w:w="3560" w:type="dxa"/>
          </w:tcPr>
          <w:p>
            <w:pPr>
              <w:pStyle w:val="Compact"/>
            </w:pPr>
            <w:r>
              <w:t xml:space="preserve">Guardrails</w:t>
            </w:r>
            <w:r>
              <w:t xml:space="preserve"> </w:t>
            </w:r>
            <w:r>
              <w:t xml:space="preserve">“PII/PHI detection”</w:t>
            </w:r>
            <w:r>
              <w:t xml:space="preserve"> </w:t>
            </w:r>
            <w:r>
              <w:t xml:space="preserve">on every response</w:t>
            </w:r>
          </w:p>
        </w:tc>
        <w:tc>
          <w:tcPr>
            <w:tcW w:w="3068" w:type="dxa"/>
          </w:tcPr>
          <w:p>
            <w:pPr>
              <w:pStyle w:val="Compact"/>
            </w:pPr>
            <w:r>
              <w:t xml:space="preserve">Identity and holder name never enter the context; validators on output</w:t>
            </w:r>
          </w:p>
        </w:tc>
        <w:tc>
          <w:tcPr>
            <w:tcW w:w="3452" w:type="dxa"/>
          </w:tcPr>
          <w:p>
            <w:pPr>
              <w:pStyle w:val="Compact"/>
            </w:pPr>
            <w:r>
              <w:t xml:space="preserve">It is cheaper and more reliable to keep identity out of the context than to detect it afterwards</w:t>
            </w:r>
          </w:p>
        </w:tc>
      </w:tr>
    </w:tbl>
    <w:bookmarkEnd w:id="44"/>
    <w:bookmarkStart w:id="45" w:name="non-functional-targets-from-the-charter"/>
    <w:p>
      <w:pPr>
        <w:pStyle w:val="Heading2"/>
      </w:pPr>
      <w:r>
        <w:t xml:space="preserve">Non-functional targets (from the Charter)</w:t>
      </w:r>
    </w:p>
    <w:tbl>
      <w:tblPr>
        <w:tblStyle w:val="Table"/>
        <w:tblW w:type="dxa" w:w="10080"/>
        <w:tblLayout w:type="fixed"/>
        <w:tblLook w:firstRow="1" w:lastRow="0" w:firstColumn="0" w:lastColumn="0" w:noHBand="0" w:noVBand="0" w:val="0020"/>
      </w:tblPr>
      <w:tblGrid>
        <w:gridCol w:w="2242"/>
        <w:gridCol w:w="7838"/>
      </w:tblGrid>
      <w:tr>
        <w:trPr>
          <w:tblHeader w:val="on"/>
        </w:trPr>
        <w:tc>
          <w:tcPr>
            <w:tcW w:w="2242" w:type="dxa"/>
          </w:tcPr>
          <w:p>
            <w:pPr>
              <w:pStyle w:val="Compact"/>
            </w:pPr>
            <w:r>
              <w:t xml:space="preserve">Target</w:t>
            </w:r>
          </w:p>
        </w:tc>
        <w:tc>
          <w:tcPr>
            <w:tcW w:w="7838" w:type="dxa"/>
          </w:tcPr>
          <w:p>
            <w:pPr>
              <w:pStyle w:val="Compact"/>
            </w:pPr>
            <w:r>
              <w:t xml:space="preserve">Design lever</w:t>
            </w:r>
          </w:p>
        </w:tc>
      </w:tr>
      <w:tr>
        <w:tc>
          <w:tcPr>
            <w:tcW w:w="2242" w:type="dxa"/>
          </w:tcPr>
          <w:p>
            <w:pPr>
              <w:pStyle w:val="Compact"/>
            </w:pPr>
            <w:r>
              <w:t xml:space="preserve">p95 &lt; 90 s per claim</w:t>
            </w:r>
          </w:p>
        </w:tc>
        <w:tc>
          <w:tcPr>
            <w:tcW w:w="7838" w:type="dxa"/>
          </w:tcPr>
          <w:p>
            <w:pPr>
              <w:pStyle w:val="Compact"/>
            </w:pPr>
            <w:r>
              <w:t xml:space="preserve">Four sequential calls. If the W3 measurement misses the target, Coverage Check and Claim Assessment run in parallel (both need only the Intake output)</w:t>
            </w:r>
          </w:p>
        </w:tc>
      </w:tr>
      <w:tr>
        <w:tc>
          <w:tcPr>
            <w:tcW w:w="2242" w:type="dxa"/>
          </w:tcPr>
          <w:p>
            <w:pPr>
              <w:pStyle w:val="Compact"/>
            </w:pPr>
            <w:r>
              <w:t xml:space="preserve">Cost ≤ $0.20 per claim</w:t>
            </w:r>
          </w:p>
        </w:tc>
        <w:tc>
          <w:tcPr>
            <w:tcW w:w="7838" w:type="dxa"/>
          </w:tcPr>
          <w:p>
            <w:pPr>
              <w:pStyle w:val="Compact"/>
            </w:pPr>
            <w:r>
              <w:t xml:space="preserve">Small model for eval runs, larger model for demo and production. The choice is set by configuration and goes through the provider seam</w:t>
            </w:r>
          </w:p>
        </w:tc>
      </w:tr>
      <w:tr>
        <w:tc>
          <w:tcPr>
            <w:tcW w:w="2242" w:type="dxa"/>
          </w:tcPr>
          <w:p>
            <w:pPr>
              <w:pStyle w:val="Compact"/>
            </w:pPr>
            <w:r>
              <w:t xml:space="preserve">Provider swap without rewrite</w:t>
            </w:r>
          </w:p>
        </w:tc>
        <w:tc>
          <w:tcPr>
            <w:tcW w:w="7838" w:type="dxa"/>
          </w:tcPr>
          <w:p>
            <w:pPr>
              <w:pStyle w:val="Compact"/>
            </w:pPr>
            <w:r>
              <w:t xml:space="preserve">One adjudicator module imports the vendor SDK (DEC-008)</w:t>
            </w:r>
          </w:p>
        </w:tc>
      </w:tr>
      <w:tr>
        <w:tc>
          <w:tcPr>
            <w:tcW w:w="2242" w:type="dxa"/>
          </w:tcPr>
          <w:p>
            <w:pPr>
              <w:pStyle w:val="Compact"/>
            </w:pPr>
            <w:r>
              <w:t xml:space="preserve">Rules fallback</w:t>
            </w:r>
          </w:p>
        </w:tc>
        <w:tc>
          <w:tcPr>
            <w:tcW w:w="7838" w:type="dxa"/>
          </w:tcPr>
          <w:p>
            <w:pPr>
              <w:pStyle w:val="Compact"/>
            </w:pPr>
            <w:r>
              <w:t xml:space="preserve">If the model is unreachable, the card shows the deterministic baseline code, labelled</w:t>
            </w:r>
            <w:r>
              <w:t xml:space="preserve"> </w:t>
            </w:r>
            <w:r>
              <w:rPr>
                <w:rStyle w:val="VerbatimChar"/>
              </w:rPr>
              <w:t xml:space="preserve">engine: rules</w:t>
            </w:r>
          </w:p>
        </w:tc>
      </w:tr>
    </w:tbl>
    <w:p>
      <w:pPr>
        <w:sectPr>
          <w:footerReference w:type="default" r:id="rIdFtr1"/>
          <w:pgSz w:w="12240" w:h="15840"/>
          <w:pgMar w:top="1080" w:right="1080" w:bottom="1080" w:left="1080" w:header="576" w:footer="576" w:gutter="0"/>
        </w:sectPr>
      </w:pPr>
    </w:p>
    <w:bookmarkEnd w:id="45"/>
    <w:bookmarkEnd w:id="46"/>
    <w:bookmarkStart w:id="50" w:name="risk-register"/>
    <w:p>
      <w:pPr>
        <w:pStyle w:val="Heading1"/>
      </w:pPr>
      <w:r>
        <w:t xml:space="preserve">4 · Risk register</w:t>
      </w:r>
    </w:p>
    <w:p>
      <w:pPr>
        <w:pStyle w:val="FirstParagraph"/>
      </w:pPr>
      <w:r>
        <w:t xml:space="preserve">Version 1.0 · 2026-10-07 · Owner: FDE · Accountable: Dana Whitfield · Reviewed at every weekly gate</w:t>
      </w:r>
    </w:p>
    <w:p>
      <w:pPr>
        <w:pStyle w:val="BodyText"/>
      </w:pPr>
      <w:r>
        <w:t xml:space="preserve">Scoring: Likelihood (L) and Impact (I) on a 1–5 scale. Score = L × I. A risk scoring 12 or more is reviewed at every gate.</w:t>
      </w:r>
      <w:r>
        <w:t xml:space="preserve"> </w:t>
      </w:r>
      <w:r>
        <w:rPr>
          <w:b/>
          <w:bCs/>
        </w:rPr>
        <w:t xml:space="preserve">Residual</w:t>
      </w:r>
      <w:r>
        <w:t xml:space="preserve"> </w:t>
      </w:r>
      <w:r>
        <w:t xml:space="preserve">is the score after mitigation, and it is what we expect to report at W5.</w:t>
      </w:r>
    </w:p>
    <w:bookmarkStart w:id="47" w:name="top-5"/>
    <w:p>
      <w:pPr>
        <w:pStyle w:val="Heading2"/>
      </w:pPr>
      <w:r>
        <w:t xml:space="preserve">Top 5</w:t>
      </w:r>
    </w:p>
    <w:tbl>
      <w:tblPr>
        <w:tblStyle w:val="Table"/>
        <w:tblW w:type="dxa" w:w="14040"/>
        <w:tblLayout w:type="fixed"/>
        <w:tblLook w:firstRow="1" w:lastRow="0" w:firstColumn="0" w:lastColumn="0" w:noHBand="0" w:noVBand="0" w:val="0020"/>
      </w:tblPr>
      <w:tblGrid>
        <w:gridCol w:w="399"/>
        <w:gridCol w:w="2130"/>
        <w:gridCol w:w="299"/>
        <w:gridCol w:w="299"/>
        <w:gridCol w:w="692"/>
        <w:gridCol w:w="3025"/>
        <w:gridCol w:w="2085"/>
        <w:gridCol w:w="2836"/>
        <w:gridCol w:w="1266"/>
        <w:gridCol w:w="1009"/>
      </w:tblGrid>
      <w:tr>
        <w:trPr>
          <w:tblHeader w:val="on"/>
        </w:trPr>
        <w:tc>
          <w:tcPr>
            <w:tcW w:w="399" w:type="dxa"/>
          </w:tcPr>
          <w:p>
            <w:pPr>
              <w:pStyle w:val="Compact"/>
            </w:pPr>
            <w:r>
              <w:t xml:space="preserve">#</w:t>
            </w:r>
          </w:p>
        </w:tc>
        <w:tc>
          <w:tcPr>
            <w:tcW w:w="2130" w:type="dxa"/>
          </w:tcPr>
          <w:p>
            <w:pPr>
              <w:pStyle w:val="Compact"/>
            </w:pPr>
            <w:r>
              <w:t xml:space="preserve">Risk</w:t>
            </w:r>
          </w:p>
        </w:tc>
        <w:tc>
          <w:tcPr>
            <w:tcW w:w="299" w:type="dxa"/>
          </w:tcPr>
          <w:p>
            <w:pPr>
              <w:pStyle w:val="Compact"/>
            </w:pPr>
            <w:r>
              <w:t xml:space="preserve">L</w:t>
            </w:r>
          </w:p>
        </w:tc>
        <w:tc>
          <w:tcPr>
            <w:tcW w:w="299" w:type="dxa"/>
          </w:tcPr>
          <w:p>
            <w:pPr>
              <w:pStyle w:val="Compact"/>
            </w:pPr>
            <w:r>
              <w:t xml:space="preserve">I</w:t>
            </w:r>
          </w:p>
        </w:tc>
        <w:tc>
          <w:tcPr>
            <w:tcW w:w="692" w:type="dxa"/>
          </w:tcPr>
          <w:p>
            <w:pPr>
              <w:pStyle w:val="Compact"/>
            </w:pPr>
            <w:r>
              <w:t xml:space="preserve">Score</w:t>
            </w:r>
          </w:p>
        </w:tc>
        <w:tc>
          <w:tcPr>
            <w:tcW w:w="3025" w:type="dxa"/>
          </w:tcPr>
          <w:p>
            <w:pPr>
              <w:pStyle w:val="Compact"/>
            </w:pPr>
            <w:r>
              <w:t xml:space="preserve">Mitigation (what we actually build)</w:t>
            </w:r>
          </w:p>
        </w:tc>
        <w:tc>
          <w:tcPr>
            <w:tcW w:w="2085" w:type="dxa"/>
          </w:tcPr>
          <w:p>
            <w:pPr>
              <w:pStyle w:val="Compact"/>
            </w:pPr>
            <w:r>
              <w:t xml:space="preserve">Early warning</w:t>
            </w:r>
          </w:p>
        </w:tc>
        <w:tc>
          <w:tcPr>
            <w:tcW w:w="2836" w:type="dxa"/>
          </w:tcPr>
          <w:p>
            <w:pPr>
              <w:pStyle w:val="Compact"/>
            </w:pPr>
            <w:r>
              <w:t xml:space="preserve">Tested by</w:t>
            </w:r>
          </w:p>
        </w:tc>
        <w:tc>
          <w:tcPr>
            <w:tcW w:w="1266" w:type="dxa"/>
          </w:tcPr>
          <w:p>
            <w:pPr>
              <w:pStyle w:val="Compact"/>
            </w:pPr>
            <w:r>
              <w:t xml:space="preserve">Owner</w:t>
            </w:r>
          </w:p>
        </w:tc>
        <w:tc>
          <w:tcPr>
            <w:tcW w:w="1009" w:type="dxa"/>
          </w:tcPr>
          <w:p>
            <w:pPr>
              <w:pStyle w:val="Compact"/>
            </w:pPr>
            <w:r>
              <w:t xml:space="preserve">Residual</w:t>
            </w:r>
          </w:p>
        </w:tc>
      </w:tr>
      <w:tr>
        <w:tc>
          <w:tcPr>
            <w:tcW w:w="399" w:type="dxa"/>
          </w:tcPr>
          <w:p>
            <w:pPr>
              <w:pStyle w:val="Compact"/>
            </w:pPr>
            <w:r>
              <w:t xml:space="preserve">R1</w:t>
            </w:r>
          </w:p>
        </w:tc>
        <w:tc>
          <w:tcPr>
            <w:tcW w:w="2130" w:type="dxa"/>
          </w:tcPr>
          <w:p>
            <w:pPr>
              <w:pStyle w:val="Compact"/>
            </w:pPr>
            <w:r>
              <w:rPr>
                <w:b/>
                <w:bCs/>
              </w:rPr>
              <w:t xml:space="preserve">Model hallucination.</w:t>
            </w:r>
            <w:r>
              <w:t xml:space="preserve"> </w:t>
            </w:r>
            <w:r>
              <w:t xml:space="preserve">The card states a fact, figure or document that isn’t in the claim file.</w:t>
            </w:r>
          </w:p>
        </w:tc>
        <w:tc>
          <w:tcPr>
            <w:tcW w:w="299" w:type="dxa"/>
          </w:tcPr>
          <w:p>
            <w:pPr>
              <w:pStyle w:val="Compact"/>
            </w:pPr>
            <w:r>
              <w:t xml:space="preserve">4</w:t>
            </w:r>
          </w:p>
        </w:tc>
        <w:tc>
          <w:tcPr>
            <w:tcW w:w="299" w:type="dxa"/>
          </w:tcPr>
          <w:p>
            <w:pPr>
              <w:pStyle w:val="Compact"/>
            </w:pPr>
            <w:r>
              <w:t xml:space="preserve">4</w:t>
            </w:r>
          </w:p>
        </w:tc>
        <w:tc>
          <w:tcPr>
            <w:tcW w:w="692" w:type="dxa"/>
          </w:tcPr>
          <w:p>
            <w:pPr>
              <w:pStyle w:val="Compact"/>
            </w:pPr>
            <w:r>
              <w:rPr>
                <w:b/>
                <w:bCs/>
              </w:rPr>
              <w:t xml:space="preserve">16</w:t>
            </w:r>
          </w:p>
        </w:tc>
        <w:tc>
          <w:tcPr>
            <w:tcW w:w="3025" w:type="dxa"/>
          </w:tcPr>
          <w:p>
            <w:pPr>
              <w:pStyle w:val="Compact"/>
            </w:pPr>
            <w:r>
              <w:t xml:space="preserve">Figures are computed before the model runs and passed in (DEC-002). An output validator rejects any $ figure not in the dossier and any document id not in the inventory. Strict structured output for each agent. If the model fails or is unreachable, the rules baseline is shown, labelled</w:t>
            </w:r>
            <w:r>
              <w:t xml:space="preserve"> </w:t>
            </w:r>
            <w:r>
              <w:rPr>
                <w:rStyle w:val="VerbatimChar"/>
              </w:rPr>
              <w:t xml:space="preserve">engine: rules</w:t>
            </w:r>
            <w:r>
              <w:t xml:space="preserve">.</w:t>
            </w:r>
          </w:p>
        </w:tc>
        <w:tc>
          <w:tcPr>
            <w:tcW w:w="2085" w:type="dxa"/>
          </w:tcPr>
          <w:p>
            <w:pPr>
              <w:pStyle w:val="Compact"/>
            </w:pPr>
            <w:r>
              <w:t xml:space="preserve">Validator rejection rate &gt; 2% of runs in CI</w:t>
            </w:r>
          </w:p>
        </w:tc>
        <w:tc>
          <w:tcPr>
            <w:tcW w:w="2836" w:type="dxa"/>
          </w:tcPr>
          <w:p>
            <w:pPr>
              <w:pStyle w:val="Compact"/>
            </w:pPr>
            <w:r>
              <w:t xml:space="preserve">W3</w:t>
            </w:r>
            <w:r>
              <w:t xml:space="preserve"> </w:t>
            </w:r>
            <w:r>
              <w:t xml:space="preserve">“invented figure”</w:t>
            </w:r>
            <w:r>
              <w:t xml:space="preserve"> </w:t>
            </w:r>
            <w:r>
              <w:t xml:space="preserve">and</w:t>
            </w:r>
            <w:r>
              <w:t xml:space="preserve"> </w:t>
            </w:r>
            <w:r>
              <w:t xml:space="preserve">“phantom document”</w:t>
            </w:r>
            <w:r>
              <w:t xml:space="preserve"> </w:t>
            </w:r>
            <w:r>
              <w:t xml:space="preserve">cases; all</w:t>
            </w:r>
            <w:r>
              <w:t xml:space="preserve"> </w:t>
            </w:r>
            <w:r>
              <w:rPr>
                <w:rStyle w:val="VerbatimChar"/>
              </w:rPr>
              <w:t xml:space="preserve">expected_net_payable_usd</w:t>
            </w:r>
            <w:r>
              <w:t xml:space="preserve"> </w:t>
            </w:r>
            <w:r>
              <w:t xml:space="preserve">asserts</w:t>
            </w:r>
          </w:p>
        </w:tc>
        <w:tc>
          <w:tcPr>
            <w:tcW w:w="1266" w:type="dxa"/>
          </w:tcPr>
          <w:p>
            <w:pPr>
              <w:pStyle w:val="Compact"/>
            </w:pPr>
            <w:r>
              <w:t xml:space="preserve">FDE</w:t>
            </w:r>
          </w:p>
        </w:tc>
        <w:tc>
          <w:tcPr>
            <w:tcW w:w="1009" w:type="dxa"/>
          </w:tcPr>
          <w:p>
            <w:pPr>
              <w:pStyle w:val="Compact"/>
            </w:pPr>
            <w:r>
              <w:t xml:space="preserve">2 × 4 = 8</w:t>
            </w:r>
          </w:p>
        </w:tc>
      </w:tr>
      <w:tr>
        <w:tc>
          <w:tcPr>
            <w:tcW w:w="399" w:type="dxa"/>
          </w:tcPr>
          <w:p>
            <w:pPr>
              <w:pStyle w:val="Compact"/>
            </w:pPr>
            <w:r>
              <w:t xml:space="preserve">R2</w:t>
            </w:r>
          </w:p>
        </w:tc>
        <w:tc>
          <w:tcPr>
            <w:tcW w:w="2130" w:type="dxa"/>
          </w:tcPr>
          <w:p>
            <w:pPr>
              <w:pStyle w:val="Compact"/>
            </w:pPr>
            <w:r>
              <w:rPr>
                <w:b/>
                <w:bCs/>
              </w:rPr>
              <w:t xml:space="preserve">Coverage misread.</w:t>
            </w:r>
            <w:r>
              <w:t xml:space="preserve"> </w:t>
            </w:r>
            <w:r>
              <w:t xml:space="preserve">A wrongful denial (litigation exposure) or a wrongful approval (leakage), e.g. approving on a lapsed policy whose status still reads Active.</w:t>
            </w:r>
          </w:p>
        </w:tc>
        <w:tc>
          <w:tcPr>
            <w:tcW w:w="299" w:type="dxa"/>
          </w:tcPr>
          <w:p>
            <w:pPr>
              <w:pStyle w:val="Compact"/>
            </w:pPr>
            <w:r>
              <w:t xml:space="preserve">3</w:t>
            </w:r>
          </w:p>
        </w:tc>
        <w:tc>
          <w:tcPr>
            <w:tcW w:w="299" w:type="dxa"/>
          </w:tcPr>
          <w:p>
            <w:pPr>
              <w:pStyle w:val="Compact"/>
            </w:pPr>
            <w:r>
              <w:t xml:space="preserve">5</w:t>
            </w:r>
          </w:p>
        </w:tc>
        <w:tc>
          <w:tcPr>
            <w:tcW w:w="692" w:type="dxa"/>
          </w:tcPr>
          <w:p>
            <w:pPr>
              <w:pStyle w:val="Compact"/>
            </w:pPr>
            <w:r>
              <w:rPr>
                <w:b/>
                <w:bCs/>
              </w:rPr>
              <w:t xml:space="preserve">15</w:t>
            </w:r>
          </w:p>
        </w:tc>
        <w:tc>
          <w:tcPr>
            <w:tcW w:w="3025" w:type="dxa"/>
          </w:tcPr>
          <w:p>
            <w:pPr>
              <w:pStyle w:val="Compact"/>
            </w:pPr>
            <w:r>
              <w:t xml:space="preserve">The in-force check runs on dates, not on the status field (CLS-PER-006, W1 Finding 1). Coverage Check must cite a clause id from the retrieved set, and the validator enforces it (DEC-004). Liability Only on a first-party claim leads to</w:t>
            </w:r>
            <w:r>
              <w:t xml:space="preserve"> </w:t>
            </w:r>
            <w:r>
              <w:rPr>
                <w:rStyle w:val="VerbatimChar"/>
              </w:rPr>
              <w:t xml:space="preserve">deny</w:t>
            </w:r>
            <w:r>
              <w:t xml:space="preserve">, which is only ever a recommendation for a senior to sign (DEC-003). Zero false approves is a release gate (DEC-006).</w:t>
            </w:r>
          </w:p>
        </w:tc>
        <w:tc>
          <w:tcPr>
            <w:tcW w:w="2085" w:type="dxa"/>
          </w:tcPr>
          <w:p>
            <w:pPr>
              <w:pStyle w:val="Compact"/>
            </w:pPr>
            <w:r>
              <w:t xml:space="preserve">Any false approve in CI. Citation coverage &lt; 100%</w:t>
            </w:r>
          </w:p>
        </w:tc>
        <w:tc>
          <w:tcPr>
            <w:tcW w:w="2836" w:type="dxa"/>
          </w:tcPr>
          <w:p>
            <w:pPr>
              <w:pStyle w:val="Compact"/>
            </w:pPr>
            <w:r>
              <w:t xml:space="preserve">W1-D01…D05, W1-F05, AC-4, AC-7</w:t>
            </w:r>
          </w:p>
        </w:tc>
        <w:tc>
          <w:tcPr>
            <w:tcW w:w="1266" w:type="dxa"/>
          </w:tcPr>
          <w:p>
            <w:pPr>
              <w:pStyle w:val="Compact"/>
            </w:pPr>
            <w:r>
              <w:t xml:space="preserve">FDE; Grace Liu (labels)</w:t>
            </w:r>
          </w:p>
        </w:tc>
        <w:tc>
          <w:tcPr>
            <w:tcW w:w="1009" w:type="dxa"/>
          </w:tcPr>
          <w:p>
            <w:pPr>
              <w:pStyle w:val="Compact"/>
            </w:pPr>
            <w:r>
              <w:t xml:space="preserve">1 × 5 = 5</w:t>
            </w:r>
          </w:p>
        </w:tc>
      </w:tr>
      <w:tr>
        <w:tc>
          <w:tcPr>
            <w:tcW w:w="399" w:type="dxa"/>
          </w:tcPr>
          <w:p>
            <w:pPr>
              <w:pStyle w:val="Compact"/>
            </w:pPr>
            <w:r>
              <w:t xml:space="preserve">R3</w:t>
            </w:r>
          </w:p>
        </w:tc>
        <w:tc>
          <w:tcPr>
            <w:tcW w:w="2130" w:type="dxa"/>
          </w:tcPr>
          <w:p>
            <w:pPr>
              <w:pStyle w:val="Compact"/>
            </w:pPr>
            <w:r>
              <w:rPr>
                <w:b/>
                <w:bCs/>
              </w:rPr>
              <w:t xml:space="preserve">Auth failure.</w:t>
            </w:r>
            <w:r>
              <w:t xml:space="preserve"> </w:t>
            </w:r>
            <w:r>
              <w:t xml:space="preserve">An adjuster reads a claim not assigned to them, through the console or by prompting the model.</w:t>
            </w:r>
          </w:p>
        </w:tc>
        <w:tc>
          <w:tcPr>
            <w:tcW w:w="299" w:type="dxa"/>
          </w:tcPr>
          <w:p>
            <w:pPr>
              <w:pStyle w:val="Compact"/>
            </w:pPr>
            <w:r>
              <w:t xml:space="preserve">3</w:t>
            </w:r>
          </w:p>
        </w:tc>
        <w:tc>
          <w:tcPr>
            <w:tcW w:w="299" w:type="dxa"/>
          </w:tcPr>
          <w:p>
            <w:pPr>
              <w:pStyle w:val="Compact"/>
            </w:pPr>
            <w:r>
              <w:t xml:space="preserve">5</w:t>
            </w:r>
          </w:p>
        </w:tc>
        <w:tc>
          <w:tcPr>
            <w:tcW w:w="692" w:type="dxa"/>
          </w:tcPr>
          <w:p>
            <w:pPr>
              <w:pStyle w:val="Compact"/>
            </w:pPr>
            <w:r>
              <w:rPr>
                <w:b/>
                <w:bCs/>
              </w:rPr>
              <w:t xml:space="preserve">15</w:t>
            </w:r>
          </w:p>
        </w:tc>
        <w:tc>
          <w:tcPr>
            <w:tcW w:w="3025" w:type="dxa"/>
          </w:tcPr>
          <w:p>
            <w:pPr>
              <w:pStyle w:val="Compact"/>
            </w:pPr>
            <w:r>
              <w:t xml:space="preserve">The JWT is verified in the MCP Lambda.</w:t>
            </w:r>
            <w:r>
              <w:t xml:space="preserve"> </w:t>
            </w:r>
            <w:r>
              <w:rPr>
                <w:rStyle w:val="VerbatimChar"/>
              </w:rPr>
              <w:t xml:space="preserve">can_read_claim</w:t>
            </w:r>
            <w:r>
              <w:t xml:space="preserve"> </w:t>
            </w:r>
            <w:r>
              <w:t xml:space="preserve">is deterministic and runs before any agent. The model never sees the user or group (DEC-005). The runtime forwards the caller’s own JWT to MCP, so there is no shared superuser token. Every call is audited. The policy tool authorises through a claim the caller can read (contract §3.5).</w:t>
            </w:r>
          </w:p>
        </w:tc>
        <w:tc>
          <w:tcPr>
            <w:tcW w:w="2085" w:type="dxa"/>
          </w:tcPr>
          <w:p>
            <w:pPr>
              <w:pStyle w:val="Compact"/>
            </w:pPr>
            <w:r>
              <w:t xml:space="preserve">Any 200 for a cross-assignment read in the W4 matrix test</w:t>
            </w:r>
          </w:p>
        </w:tc>
        <w:tc>
          <w:tcPr>
            <w:tcW w:w="2836" w:type="dxa"/>
          </w:tcPr>
          <w:p>
            <w:pPr>
              <w:pStyle w:val="Compact"/>
            </w:pPr>
            <w:r>
              <w:t xml:space="preserve">AC-5 two-user test; W4 4-group × 20-claim RBAC matrix; W5</w:t>
            </w:r>
            <w:r>
              <w:t xml:space="preserve"> </w:t>
            </w:r>
            <w:r>
              <w:t xml:space="preserve">“act as senior adjuster”</w:t>
            </w:r>
            <w:r>
              <w:t xml:space="preserve"> </w:t>
            </w:r>
            <w:r>
              <w:t xml:space="preserve">cases</w:t>
            </w:r>
          </w:p>
        </w:tc>
        <w:tc>
          <w:tcPr>
            <w:tcW w:w="1266" w:type="dxa"/>
          </w:tcPr>
          <w:p>
            <w:pPr>
              <w:pStyle w:val="Compact"/>
            </w:pPr>
            <w:r>
              <w:t xml:space="preserve">FDE; Marcus Chen (A)</w:t>
            </w:r>
          </w:p>
        </w:tc>
        <w:tc>
          <w:tcPr>
            <w:tcW w:w="1009" w:type="dxa"/>
          </w:tcPr>
          <w:p>
            <w:pPr>
              <w:pStyle w:val="Compact"/>
            </w:pPr>
            <w:r>
              <w:t xml:space="preserve">1 × 5 = 5</w:t>
            </w:r>
          </w:p>
        </w:tc>
      </w:tr>
      <w:tr>
        <w:tc>
          <w:tcPr>
            <w:tcW w:w="399" w:type="dxa"/>
          </w:tcPr>
          <w:p>
            <w:pPr>
              <w:pStyle w:val="Compact"/>
            </w:pPr>
            <w:r>
              <w:t xml:space="preserve">R4</w:t>
            </w:r>
          </w:p>
        </w:tc>
        <w:tc>
          <w:tcPr>
            <w:tcW w:w="2130" w:type="dxa"/>
          </w:tcPr>
          <w:p>
            <w:pPr>
              <w:pStyle w:val="Compact"/>
            </w:pPr>
            <w:r>
              <w:rPr>
                <w:b/>
                <w:bCs/>
              </w:rPr>
              <w:t xml:space="preserve">Data leak.</w:t>
            </w:r>
            <w:r>
              <w:t xml:space="preserve"> </w:t>
            </w:r>
            <w:r>
              <w:t xml:space="preserve">Claimant data reaches the model vendor, a log, or another user’s session.</w:t>
            </w:r>
          </w:p>
        </w:tc>
        <w:tc>
          <w:tcPr>
            <w:tcW w:w="299" w:type="dxa"/>
          </w:tcPr>
          <w:p>
            <w:pPr>
              <w:pStyle w:val="Compact"/>
            </w:pPr>
            <w:r>
              <w:t xml:space="preserve">2</w:t>
            </w:r>
          </w:p>
        </w:tc>
        <w:tc>
          <w:tcPr>
            <w:tcW w:w="299" w:type="dxa"/>
          </w:tcPr>
          <w:p>
            <w:pPr>
              <w:pStyle w:val="Compact"/>
            </w:pPr>
            <w:r>
              <w:t xml:space="preserve">5</w:t>
            </w:r>
          </w:p>
        </w:tc>
        <w:tc>
          <w:tcPr>
            <w:tcW w:w="692" w:type="dxa"/>
          </w:tcPr>
          <w:p>
            <w:pPr>
              <w:pStyle w:val="Compact"/>
            </w:pPr>
            <w:r>
              <w:rPr>
                <w:b/>
                <w:bCs/>
              </w:rPr>
              <w:t xml:space="preserve">10</w:t>
            </w:r>
          </w:p>
        </w:tc>
        <w:tc>
          <w:tcPr>
            <w:tcW w:w="3025" w:type="dxa"/>
          </w:tcPr>
          <w:p>
            <w:pPr>
              <w:pStyle w:val="Compact"/>
            </w:pPr>
            <w:r>
              <w:t xml:space="preserve">De-identified export only until the DPA is signed (DEC-007). The holder name is dropped by the contract, never sent (§3.5). The dossier carries one claim only, so nothing crosses records. Audit logs hold ids, not content. Secrets live in SSM, never in images or CI logs. OpenAI API under no-training terms.</w:t>
            </w:r>
          </w:p>
        </w:tc>
        <w:tc>
          <w:tcPr>
            <w:tcW w:w="2085" w:type="dxa"/>
          </w:tcPr>
          <w:p>
            <w:pPr>
              <w:pStyle w:val="Compact"/>
            </w:pPr>
            <w:r>
              <w:t xml:space="preserve">Grep of CI and CloudWatch logs for holder-name or JWT patterns, run at every gate</w:t>
            </w:r>
          </w:p>
        </w:tc>
        <w:tc>
          <w:tcPr>
            <w:tcW w:w="2836" w:type="dxa"/>
          </w:tcPr>
          <w:p>
            <w:pPr>
              <w:pStyle w:val="Compact"/>
            </w:pPr>
            <w:r>
              <w:t xml:space="preserve">W5 cross-record leakage cases; log scan at W4 and W5</w:t>
            </w:r>
          </w:p>
        </w:tc>
        <w:tc>
          <w:tcPr>
            <w:tcW w:w="1266" w:type="dxa"/>
          </w:tcPr>
          <w:p>
            <w:pPr>
              <w:pStyle w:val="Compact"/>
            </w:pPr>
            <w:r>
              <w:t xml:space="preserve">FDE; Marcus Chen</w:t>
            </w:r>
          </w:p>
        </w:tc>
        <w:tc>
          <w:tcPr>
            <w:tcW w:w="1009" w:type="dxa"/>
          </w:tcPr>
          <w:p>
            <w:pPr>
              <w:pStyle w:val="Compact"/>
            </w:pPr>
            <w:r>
              <w:t xml:space="preserve">1 × 5 = 5</w:t>
            </w:r>
          </w:p>
        </w:tc>
      </w:tr>
      <w:tr>
        <w:tc>
          <w:tcPr>
            <w:tcW w:w="399" w:type="dxa"/>
          </w:tcPr>
          <w:p>
            <w:pPr>
              <w:pStyle w:val="Compact"/>
            </w:pPr>
            <w:r>
              <w:t xml:space="preserve">R5</w:t>
            </w:r>
          </w:p>
        </w:tc>
        <w:tc>
          <w:tcPr>
            <w:tcW w:w="2130" w:type="dxa"/>
          </w:tcPr>
          <w:p>
            <w:pPr>
              <w:pStyle w:val="Compact"/>
            </w:pPr>
            <w:r>
              <w:rPr>
                <w:b/>
                <w:bCs/>
              </w:rPr>
              <w:t xml:space="preserve">Scope creep.</w:t>
            </w:r>
            <w:r>
              <w:t xml:space="preserve"> </w:t>
            </w:r>
            <w:r>
              <w:t xml:space="preserve">Pressure to add auto-approval, write-back to CMS, rental adjudication, or production data within the five weeks.</w:t>
            </w:r>
          </w:p>
        </w:tc>
        <w:tc>
          <w:tcPr>
            <w:tcW w:w="299" w:type="dxa"/>
          </w:tcPr>
          <w:p>
            <w:pPr>
              <w:pStyle w:val="Compact"/>
            </w:pPr>
            <w:r>
              <w:t xml:space="preserve">4</w:t>
            </w:r>
          </w:p>
        </w:tc>
        <w:tc>
          <w:tcPr>
            <w:tcW w:w="299" w:type="dxa"/>
          </w:tcPr>
          <w:p>
            <w:pPr>
              <w:pStyle w:val="Compact"/>
            </w:pPr>
            <w:r>
              <w:t xml:space="preserve">3</w:t>
            </w:r>
          </w:p>
        </w:tc>
        <w:tc>
          <w:tcPr>
            <w:tcW w:w="692" w:type="dxa"/>
          </w:tcPr>
          <w:p>
            <w:pPr>
              <w:pStyle w:val="Compact"/>
            </w:pPr>
            <w:r>
              <w:rPr>
                <w:b/>
                <w:bCs/>
              </w:rPr>
              <w:t xml:space="preserve">12</w:t>
            </w:r>
          </w:p>
        </w:tc>
        <w:tc>
          <w:tcPr>
            <w:tcW w:w="3025" w:type="dxa"/>
          </w:tcPr>
          <w:p>
            <w:pPr>
              <w:pStyle w:val="Compact"/>
            </w:pPr>
            <w:r>
              <w:t xml:space="preserve">SoW §3 lists every exclusion. Change control (SoW §8) requires a written impact assessment first. DEC-001 states a measurable revisit trigger, so</w:t>
            </w:r>
            <w:r>
              <w:t xml:space="preserve"> </w:t>
            </w:r>
            <w:r>
              <w:t xml:space="preserve">“not now”</w:t>
            </w:r>
            <w:r>
              <w:t xml:space="preserve"> </w:t>
            </w:r>
            <w:r>
              <w:t xml:space="preserve">comes with a date and a condition. Open questions are closed in writing (Q-07 rental: out).</w:t>
            </w:r>
          </w:p>
        </w:tc>
        <w:tc>
          <w:tcPr>
            <w:tcW w:w="2085" w:type="dxa"/>
          </w:tcPr>
          <w:p>
            <w:pPr>
              <w:pStyle w:val="Compact"/>
            </w:pPr>
            <w:r>
              <w:t xml:space="preserve">Any request that starts with</w:t>
            </w:r>
            <w:r>
              <w:t xml:space="preserve"> </w:t>
            </w:r>
            <w:r>
              <w:t xml:space="preserve">“while you’re in there…”</w:t>
            </w:r>
            <w:r>
              <w:t xml:space="preserve">. A new item at a gate that isn’t in SoW §2</w:t>
            </w:r>
          </w:p>
        </w:tc>
        <w:tc>
          <w:tcPr>
            <w:tcW w:w="2836" w:type="dxa"/>
          </w:tcPr>
          <w:p>
            <w:pPr>
              <w:pStyle w:val="Compact"/>
            </w:pPr>
            <w:r>
              <w:t xml:space="preserve">Change log; every gate starts by reading SoW §2</w:t>
            </w:r>
          </w:p>
        </w:tc>
        <w:tc>
          <w:tcPr>
            <w:tcW w:w="1266" w:type="dxa"/>
          </w:tcPr>
          <w:p>
            <w:pPr>
              <w:pStyle w:val="Compact"/>
            </w:pPr>
            <w:r>
              <w:t xml:space="preserve">Engagement manager; Dana Whitfield</w:t>
            </w:r>
          </w:p>
        </w:tc>
        <w:tc>
          <w:tcPr>
            <w:tcW w:w="1009" w:type="dxa"/>
          </w:tcPr>
          <w:p>
            <w:pPr>
              <w:pStyle w:val="Compact"/>
            </w:pPr>
            <w:r>
              <w:t xml:space="preserve">2 × 3 = 6</w:t>
            </w:r>
          </w:p>
        </w:tc>
      </w:tr>
    </w:tbl>
    <w:bookmarkEnd w:id="47"/>
    <w:bookmarkStart w:id="48" w:name="watch-list-below-the-top-5-tracked"/>
    <w:p>
      <w:pPr>
        <w:pStyle w:val="Heading2"/>
      </w:pPr>
      <w:r>
        <w:t xml:space="preserve">Watch list (below the top 5, tracked)</w:t>
      </w:r>
    </w:p>
    <w:tbl>
      <w:tblPr>
        <w:tblStyle w:val="Table"/>
        <w:tblW w:type="dxa" w:w="14040"/>
        <w:tblLayout w:type="fixed"/>
        <w:tblLook w:firstRow="1" w:lastRow="0" w:firstColumn="0" w:lastColumn="0" w:noHBand="0" w:noVBand="0" w:val="0020"/>
      </w:tblPr>
      <w:tblGrid>
        <w:gridCol w:w="492"/>
        <w:gridCol w:w="6126"/>
        <w:gridCol w:w="758"/>
        <w:gridCol w:w="6664"/>
      </w:tblGrid>
      <w:tr>
        <w:trPr>
          <w:tblHeader w:val="on"/>
        </w:trPr>
        <w:tc>
          <w:tcPr>
            <w:tcW w:w="492" w:type="dxa"/>
          </w:tcPr>
          <w:p>
            <w:pPr>
              <w:pStyle w:val="Compact"/>
            </w:pPr>
            <w:r>
              <w:t xml:space="preserve">#</w:t>
            </w:r>
          </w:p>
        </w:tc>
        <w:tc>
          <w:tcPr>
            <w:tcW w:w="6126" w:type="dxa"/>
          </w:tcPr>
          <w:p>
            <w:pPr>
              <w:pStyle w:val="Compact"/>
            </w:pPr>
            <w:r>
              <w:t xml:space="preserve">Risk</w:t>
            </w:r>
          </w:p>
        </w:tc>
        <w:tc>
          <w:tcPr>
            <w:tcW w:w="758" w:type="dxa"/>
          </w:tcPr>
          <w:p>
            <w:pPr>
              <w:pStyle w:val="Compact"/>
            </w:pPr>
            <w:r>
              <w:t xml:space="preserve">L × I</w:t>
            </w:r>
          </w:p>
        </w:tc>
        <w:tc>
          <w:tcPr>
            <w:tcW w:w="6664" w:type="dxa"/>
          </w:tcPr>
          <w:p>
            <w:pPr>
              <w:pStyle w:val="Compact"/>
            </w:pPr>
            <w:r>
              <w:t xml:space="preserve">Mitigation</w:t>
            </w:r>
          </w:p>
        </w:tc>
      </w:tr>
      <w:tr>
        <w:tc>
          <w:tcPr>
            <w:tcW w:w="492" w:type="dxa"/>
          </w:tcPr>
          <w:p>
            <w:pPr>
              <w:pStyle w:val="Compact"/>
            </w:pPr>
            <w:r>
              <w:t xml:space="preserve">W1</w:t>
            </w:r>
          </w:p>
        </w:tc>
        <w:tc>
          <w:tcPr>
            <w:tcW w:w="6126" w:type="dxa"/>
          </w:tcPr>
          <w:p>
            <w:pPr>
              <w:pStyle w:val="Compact"/>
            </w:pPr>
            <w:r>
              <w:t xml:space="preserve">AWS lab or account guardrails block a required service (seen in W2: Cognito denied, Lambda denied to role sessions)</w:t>
            </w:r>
          </w:p>
        </w:tc>
        <w:tc>
          <w:tcPr>
            <w:tcW w:w="758" w:type="dxa"/>
          </w:tcPr>
          <w:p>
            <w:pPr>
              <w:pStyle w:val="Compact"/>
            </w:pPr>
            <w:r>
              <w:t xml:space="preserve">4 × 2 = 8</w:t>
            </w:r>
          </w:p>
        </w:tc>
        <w:tc>
          <w:tcPr>
            <w:tcW w:w="6664" w:type="dxa"/>
          </w:tcPr>
          <w:p>
            <w:pPr>
              <w:pStyle w:val="Compact"/>
            </w:pPr>
            <w:r>
              <w:t xml:space="preserve">DEC-012 JWT fallback with Cognito-shaped claims; permission list sent to IT on day 1 (CD-1)</w:t>
            </w:r>
          </w:p>
        </w:tc>
      </w:tr>
      <w:tr>
        <w:tc>
          <w:tcPr>
            <w:tcW w:w="492" w:type="dxa"/>
          </w:tcPr>
          <w:p>
            <w:pPr>
              <w:pStyle w:val="Compact"/>
            </w:pPr>
            <w:r>
              <w:t xml:space="preserve">W2</w:t>
            </w:r>
          </w:p>
        </w:tc>
        <w:tc>
          <w:tcPr>
            <w:tcW w:w="6126" w:type="dxa"/>
          </w:tcPr>
          <w:p>
            <w:pPr>
              <w:pStyle w:val="Compact"/>
            </w:pPr>
            <w:r>
              <w:t xml:space="preserve">Latency misses p95 &lt; 90 s with four sequential calls</w:t>
            </w:r>
          </w:p>
        </w:tc>
        <w:tc>
          <w:tcPr>
            <w:tcW w:w="758" w:type="dxa"/>
          </w:tcPr>
          <w:p>
            <w:pPr>
              <w:pStyle w:val="Compact"/>
            </w:pPr>
            <w:r>
              <w:t xml:space="preserve">3 × 2 = 6</w:t>
            </w:r>
          </w:p>
        </w:tc>
        <w:tc>
          <w:tcPr>
            <w:tcW w:w="6664" w:type="dxa"/>
          </w:tcPr>
          <w:p>
            <w:pPr>
              <w:pStyle w:val="Compact"/>
            </w:pPr>
            <w:r>
              <w:t xml:space="preserve">Measure in W3; run Coverage Check and Claim Assessment in parallel; small model for Intake</w:t>
            </w:r>
          </w:p>
        </w:tc>
      </w:tr>
      <w:tr>
        <w:tc>
          <w:tcPr>
            <w:tcW w:w="492" w:type="dxa"/>
          </w:tcPr>
          <w:p>
            <w:pPr>
              <w:pStyle w:val="Compact"/>
            </w:pPr>
            <w:r>
              <w:t xml:space="preserve">W3</w:t>
            </w:r>
          </w:p>
        </w:tc>
        <w:tc>
          <w:tcPr>
            <w:tcW w:w="6126" w:type="dxa"/>
          </w:tcPr>
          <w:p>
            <w:pPr>
              <w:pStyle w:val="Compact"/>
            </w:pPr>
            <w:r>
              <w:t xml:space="preserve">OCR backlog: estimates stay Pending, so too many cards say</w:t>
            </w:r>
            <w:r>
              <w:t xml:space="preserve"> </w:t>
            </w:r>
            <w:r>
              <w:t xml:space="preserve">“cannot approve yet”</w:t>
            </w:r>
            <w:r>
              <w:t xml:space="preserve"> </w:t>
            </w:r>
            <w:r>
              <w:t xml:space="preserve">and adjusters lose trust</w:t>
            </w:r>
          </w:p>
        </w:tc>
        <w:tc>
          <w:tcPr>
            <w:tcW w:w="758" w:type="dxa"/>
          </w:tcPr>
          <w:p>
            <w:pPr>
              <w:pStyle w:val="Compact"/>
            </w:pPr>
            <w:r>
              <w:t xml:space="preserve">3 × 2 = 6</w:t>
            </w:r>
          </w:p>
        </w:tc>
        <w:tc>
          <w:tcPr>
            <w:tcW w:w="6664" w:type="dxa"/>
          </w:tcPr>
          <w:p>
            <w:pPr>
              <w:pStyle w:val="Compact"/>
            </w:pPr>
            <w:r>
              <w:t xml:space="preserve">The card names exactly which document is pending and why it matters (CLS-DOC-009); Tom to report the OCR queue SLA</w:t>
            </w:r>
          </w:p>
        </w:tc>
      </w:tr>
      <w:tr>
        <w:tc>
          <w:tcPr>
            <w:tcW w:w="492" w:type="dxa"/>
          </w:tcPr>
          <w:p>
            <w:pPr>
              <w:pStyle w:val="Compact"/>
            </w:pPr>
            <w:r>
              <w:t xml:space="preserve">W4</w:t>
            </w:r>
          </w:p>
        </w:tc>
        <w:tc>
          <w:tcPr>
            <w:tcW w:w="6126" w:type="dxa"/>
          </w:tcPr>
          <w:p>
            <w:pPr>
              <w:pStyle w:val="Compact"/>
            </w:pPr>
            <w:r>
              <w:t xml:space="preserve">Vendor fraud score drifts or changes meaning</w:t>
            </w:r>
          </w:p>
        </w:tc>
        <w:tc>
          <w:tcPr>
            <w:tcW w:w="758" w:type="dxa"/>
          </w:tcPr>
          <w:p>
            <w:pPr>
              <w:pStyle w:val="Compact"/>
            </w:pPr>
            <w:r>
              <w:t xml:space="preserve">2 × 3 = 6</w:t>
            </w:r>
          </w:p>
        </w:tc>
        <w:tc>
          <w:tcPr>
            <w:tcW w:w="6664" w:type="dxa"/>
          </w:tcPr>
          <w:p>
            <w:pPr>
              <w:pStyle w:val="Compact"/>
            </w:pPr>
            <w:r>
              <w:t xml:space="preserve">Score treated as an input, threshold owned by SIU (DEC-003); provenance documented (Q-04 closed)</w:t>
            </w:r>
          </w:p>
        </w:tc>
      </w:tr>
      <w:tr>
        <w:tc>
          <w:tcPr>
            <w:tcW w:w="492" w:type="dxa"/>
          </w:tcPr>
          <w:p>
            <w:pPr>
              <w:pStyle w:val="Compact"/>
            </w:pPr>
            <w:r>
              <w:t xml:space="preserve">W5</w:t>
            </w:r>
          </w:p>
        </w:tc>
        <w:tc>
          <w:tcPr>
            <w:tcW w:w="6126" w:type="dxa"/>
          </w:tcPr>
          <w:p>
            <w:pPr>
              <w:pStyle w:val="Compact"/>
            </w:pPr>
            <w:r>
              <w:t xml:space="preserve">Label disagreement: Bob’s expected outcome differs from Grace’s reading of the manual</w:t>
            </w:r>
          </w:p>
        </w:tc>
        <w:tc>
          <w:tcPr>
            <w:tcW w:w="758" w:type="dxa"/>
          </w:tcPr>
          <w:p>
            <w:pPr>
              <w:pStyle w:val="Compact"/>
            </w:pPr>
            <w:r>
              <w:t xml:space="preserve">2 × 3 = 6</w:t>
            </w:r>
          </w:p>
        </w:tc>
        <w:tc>
          <w:tcPr>
            <w:tcW w:w="6664" w:type="dxa"/>
          </w:tcPr>
          <w:p>
            <w:pPr>
              <w:pStyle w:val="Compact"/>
            </w:pPr>
            <w:r>
              <w:t xml:space="preserve">Disagreement resolved by Bob and logged in DECISIONS.md (DEC-006); Grace consulted on deny cases</w:t>
            </w:r>
          </w:p>
        </w:tc>
      </w:tr>
    </w:tbl>
    <w:bookmarkEnd w:id="48"/>
    <w:bookmarkStart w:id="49" w:name="how-the-register-is-used"/>
    <w:p>
      <w:pPr>
        <w:pStyle w:val="Heading2"/>
      </w:pPr>
      <w:r>
        <w:t xml:space="preserve">How the register is used</w:t>
      </w:r>
    </w:p>
    <w:p>
      <w:pPr>
        <w:pStyle w:val="Compact"/>
        <w:numPr>
          <w:ilvl w:val="0"/>
          <w:numId w:val="1006"/>
        </w:numPr>
      </w:pPr>
      <w:r>
        <w:t xml:space="preserve">Each gate opens by updating L and I with evidence from that week, not from opinion.</w:t>
      </w:r>
    </w:p>
    <w:p>
      <w:pPr>
        <w:pStyle w:val="Compact"/>
        <w:numPr>
          <w:ilvl w:val="0"/>
          <w:numId w:val="1006"/>
        </w:numPr>
      </w:pPr>
      <w:r>
        <w:t xml:space="preserve">A risk only moves to its residual score once its</w:t>
      </w:r>
      <w:r>
        <w:t xml:space="preserve"> </w:t>
      </w:r>
      <w:r>
        <w:t xml:space="preserve">“Tested by”</w:t>
      </w:r>
      <w:r>
        <w:t xml:space="preserve"> </w:t>
      </w:r>
      <w:r>
        <w:t xml:space="preserve">slice passes in CI.</w:t>
      </w:r>
    </w:p>
    <w:p>
      <w:pPr>
        <w:pStyle w:val="Compact"/>
        <w:numPr>
          <w:ilvl w:val="0"/>
          <w:numId w:val="1006"/>
        </w:numPr>
      </w:pPr>
      <w:r>
        <w:t xml:space="preserve">A new failure mode found during the build becomes an eval case first and a risk entry second.</w:t>
      </w:r>
    </w:p>
    <w:p>
      <w:pPr>
        <w:sectPr>
          <w:footerReference w:type="default" r:id="rIdFtr1"/>
          <w:pgSz w:w="15840" w:h="12240" w:orient="landscape"/>
          <w:pgMar w:top="900" w:right="900" w:bottom="900" w:left="900" w:header="576" w:footer="576" w:gutter="0"/>
        </w:sectPr>
      </w:pPr>
    </w:p>
    <w:bookmarkEnd w:id="49"/>
    <w:bookmarkEnd w:id="50"/>
    <w:bookmarkStart w:id="63" w:name="mcp-tool-contract"/>
    <w:p>
      <w:pPr>
        <w:pStyle w:val="Heading1"/>
      </w:pPr>
      <w:r>
        <w:t xml:space="preserve">5 · MCP tool contract</w:t>
      </w:r>
    </w:p>
    <w:p>
      <w:pPr>
        <w:pStyle w:val="FirstParagraph"/>
      </w:pPr>
      <w:r>
        <w:t xml:space="preserve">Version 1.0 · 2026-10-08 · Reviewed by Tom Ngata (IT, C) and Marcus Chen (Security, C)</w:t>
      </w:r>
      <w:r>
        <w:t xml:space="preserve"> </w:t>
      </w:r>
      <w:r>
        <w:t xml:space="preserve">Machine-readable source of truth:</w:t>
      </w:r>
      <w:r>
        <w:t xml:space="preserve"> </w:t>
      </w:r>
      <w:r>
        <w:rPr>
          <w:rStyle w:val="VerbatimChar"/>
        </w:rPr>
        <w:t xml:space="preserve">contract/mcp_tools.schema.json</w:t>
      </w:r>
      <w:r>
        <w:t xml:space="preserve"> </w:t>
      </w:r>
      <w:r>
        <w:t xml:space="preserve">(JSON Schema 2020-12). This page explains it. If the two disagree, the schema wins.</w:t>
      </w:r>
    </w:p>
    <w:bookmarkStart w:id="51" w:name="rules-every-tool-follows"/>
    <w:p>
      <w:pPr>
        <w:pStyle w:val="Heading2"/>
      </w:pPr>
      <w:r>
        <w:t xml:space="preserve">1. Rules every tool follows</w:t>
      </w:r>
    </w:p>
    <w:p>
      <w:pPr>
        <w:pStyle w:val="Compact"/>
        <w:numPr>
          <w:ilvl w:val="0"/>
          <w:numId w:val="1007"/>
        </w:numPr>
      </w:pPr>
      <w:r>
        <w:rPr>
          <w:b/>
          <w:bCs/>
        </w:rPr>
        <w:t xml:space="preserve">Read-only.</w:t>
      </w:r>
      <w:r>
        <w:t xml:space="preserve"> </w:t>
      </w:r>
      <w:r>
        <w:t xml:space="preserve">The pilot has six tools, and none of them writes (DEC-001, DEC-005). §5 covers what a write tool would need later.</w:t>
      </w:r>
    </w:p>
    <w:p>
      <w:pPr>
        <w:pStyle w:val="Compact"/>
        <w:numPr>
          <w:ilvl w:val="0"/>
          <w:numId w:val="1007"/>
        </w:numPr>
      </w:pPr>
      <w:r>
        <w:rPr>
          <w:b/>
          <w:bCs/>
        </w:rPr>
        <w:t xml:space="preserve">Identity comes from the token, never from input.</w:t>
      </w:r>
      <w:r>
        <w:t xml:space="preserve"> </w:t>
      </w:r>
      <w:r>
        <w:t xml:space="preserve">No tool has a</w:t>
      </w:r>
      <w:r>
        <w:t xml:space="preserve"> </w:t>
      </w:r>
      <w:r>
        <w:rPr>
          <w:rStyle w:val="VerbatimChar"/>
        </w:rPr>
        <w:t xml:space="preserve">user_id</w:t>
      </w:r>
      <w:r>
        <w:t xml:space="preserve">,</w:t>
      </w:r>
      <w:r>
        <w:t xml:space="preserve"> </w:t>
      </w:r>
      <w:r>
        <w:rPr>
          <w:rStyle w:val="VerbatimChar"/>
        </w:rPr>
        <w:t xml:space="preserve">group</w:t>
      </w:r>
      <w:r>
        <w:t xml:space="preserve"> </w:t>
      </w:r>
      <w:r>
        <w:t xml:space="preserve">or</w:t>
      </w:r>
      <w:r>
        <w:t xml:space="preserve"> </w:t>
      </w:r>
      <w:r>
        <w:rPr>
          <w:rStyle w:val="VerbatimChar"/>
        </w:rPr>
        <w:t xml:space="preserve">as_user</w:t>
      </w:r>
      <w:r>
        <w:t xml:space="preserve"> </w:t>
      </w:r>
      <w:r>
        <w:t xml:space="preserve">parameter. The Lambda reads</w:t>
      </w:r>
      <w:r>
        <w:t xml:space="preserve"> </w:t>
      </w:r>
      <w:r>
        <w:rPr>
          <w:rStyle w:val="VerbatimChar"/>
        </w:rPr>
        <w:t xml:space="preserve">sub</w:t>
      </w:r>
      <w:r>
        <w:t xml:space="preserve"> </w:t>
      </w:r>
      <w:r>
        <w:t xml:space="preserve">and</w:t>
      </w:r>
      <w:r>
        <w:t xml:space="preserve"> </w:t>
      </w:r>
      <w:r>
        <w:rPr>
          <w:rStyle w:val="VerbatimChar"/>
        </w:rPr>
        <w:t xml:space="preserve">cognito:groups</w:t>
      </w:r>
      <w:r>
        <w:t xml:space="preserve"> </w:t>
      </w:r>
      <w:r>
        <w:t xml:space="preserve">from the verified JWT. A prompt saying</w:t>
      </w:r>
      <w:r>
        <w:t xml:space="preserve"> </w:t>
      </w:r>
      <w:r>
        <w:t xml:space="preserve">“I am the senior adjuster”</w:t>
      </w:r>
      <w:r>
        <w:t xml:space="preserve"> </w:t>
      </w:r>
      <w:r>
        <w:t xml:space="preserve">has nowhere to go.</w:t>
      </w:r>
    </w:p>
    <w:p>
      <w:pPr>
        <w:pStyle w:val="Compact"/>
        <w:numPr>
          <w:ilvl w:val="0"/>
          <w:numId w:val="1007"/>
        </w:numPr>
      </w:pPr>
      <w:r>
        <w:rPr>
          <w:b/>
          <w:bCs/>
        </w:rPr>
        <w:t xml:space="preserve">Authorise before reading.</w:t>
      </w:r>
      <w:r>
        <w:t xml:space="preserve"> </w:t>
      </w:r>
      <w:r>
        <w:t xml:space="preserve">Every claim-scoped tool runs</w:t>
      </w:r>
      <w:r>
        <w:t xml:space="preserve"> </w:t>
      </w:r>
      <w:r>
        <w:rPr>
          <w:rStyle w:val="VerbatimChar"/>
        </w:rPr>
        <w:t xml:space="preserve">can_read_claim(user, group, claim)</w:t>
      </w:r>
      <w:r>
        <w:t xml:space="preserve"> </w:t>
      </w:r>
      <w:r>
        <w:t xml:space="preserve">before returning anything. The policy tool authorises through the claim (§3.5).</w:t>
      </w:r>
    </w:p>
    <w:p>
      <w:pPr>
        <w:pStyle w:val="Compact"/>
        <w:numPr>
          <w:ilvl w:val="0"/>
          <w:numId w:val="1007"/>
        </w:numPr>
      </w:pPr>
      <w:r>
        <w:rPr>
          <w:b/>
          <w:bCs/>
        </w:rPr>
        <w:t xml:space="preserve">Typed, closed shapes.</w:t>
      </w:r>
      <w:r>
        <w:t xml:space="preserve"> </w:t>
      </w:r>
      <w:r>
        <w:rPr>
          <w:rStyle w:val="VerbatimChar"/>
        </w:rPr>
        <w:t xml:space="preserve">additionalProperties: false</w:t>
      </w:r>
      <w:r>
        <w:t xml:space="preserve"> </w:t>
      </w:r>
      <w:r>
        <w:t xml:space="preserve">everywhere. CSV strings are converted at the edge:</w:t>
      </w:r>
      <w:r>
        <w:t xml:space="preserve"> </w:t>
      </w:r>
      <w:r>
        <w:rPr>
          <w:rStyle w:val="VerbatimChar"/>
        </w:rPr>
        <w:t xml:space="preserve">"Yes"</w:t>
      </w:r>
      <w:r>
        <w:t xml:space="preserve">/</w:t>
      </w:r>
      <w:r>
        <w:rPr>
          <w:rStyle w:val="VerbatimChar"/>
        </w:rPr>
        <w:t xml:space="preserve">"No"</w:t>
      </w:r>
      <w:r>
        <w:t xml:space="preserve"> </w:t>
      </w:r>
      <w:r>
        <w:t xml:space="preserve">become booleans,</w:t>
      </w:r>
      <w:r>
        <w:t xml:space="preserve"> </w:t>
      </w:r>
      <w:r>
        <w:rPr>
          <w:rStyle w:val="VerbatimChar"/>
        </w:rPr>
        <w:t xml:space="preserve">"N/A"</w:t>
      </w:r>
      <w:r>
        <w:t xml:space="preserve"> </w:t>
      </w:r>
      <w:r>
        <w:t xml:space="preserve">becomes</w:t>
      </w:r>
      <w:r>
        <w:t xml:space="preserve"> </w:t>
      </w:r>
      <w:r>
        <w:rPr>
          <w:rStyle w:val="VerbatimChar"/>
        </w:rPr>
        <w:t xml:space="preserve">null</w:t>
      </w:r>
      <w:r>
        <w:t xml:space="preserve">, and money and counts become numbers. The agents never parse strings like</w:t>
      </w:r>
      <w:r>
        <w:t xml:space="preserve"> </w:t>
      </w:r>
      <w:r>
        <w:rPr>
          <w:rStyle w:val="VerbatimChar"/>
        </w:rPr>
        <w:t xml:space="preserve">"N/A"</w:t>
      </w:r>
      <w:r>
        <w:t xml:space="preserve">.</w:t>
      </w:r>
    </w:p>
    <w:p>
      <w:pPr>
        <w:pStyle w:val="Compact"/>
        <w:numPr>
          <w:ilvl w:val="0"/>
          <w:numId w:val="1007"/>
        </w:numPr>
      </w:pPr>
      <w:r>
        <w:rPr>
          <w:b/>
          <w:bCs/>
        </w:rPr>
        <w:t xml:space="preserve">Minimum data.</w:t>
      </w:r>
      <w:r>
        <w:t xml:space="preserve"> </w:t>
      </w:r>
      <w:r>
        <w:t xml:space="preserve">A tool returns only what an agent needs. The policy holder’s name exists in the source system but is not in the contract.</w:t>
      </w:r>
    </w:p>
    <w:p>
      <w:pPr>
        <w:pStyle w:val="Compact"/>
        <w:numPr>
          <w:ilvl w:val="0"/>
          <w:numId w:val="1007"/>
        </w:numPr>
      </w:pPr>
      <w:r>
        <w:rPr>
          <w:b/>
          <w:bCs/>
        </w:rPr>
        <w:t xml:space="preserve">Every call is audited</w:t>
      </w:r>
      <w:r>
        <w:t xml:space="preserve">, whether allowed or denied, with one</w:t>
      </w:r>
      <w:r>
        <w:t xml:space="preserve"> </w:t>
      </w:r>
      <w:r>
        <w:rPr>
          <w:rStyle w:val="VerbatimChar"/>
        </w:rPr>
        <w:t xml:space="preserve">AuditRecord</w:t>
      </w:r>
      <w:r>
        <w:t xml:space="preserve">. The caller gets a safe message, and the full reason goes only to the audit log.</w:t>
      </w:r>
    </w:p>
    <w:bookmarkEnd w:id="51"/>
    <w:bookmarkStart w:id="52" w:name="envelope"/>
    <w:p>
      <w:pPr>
        <w:pStyle w:val="Heading2"/>
      </w:pPr>
      <w:r>
        <w:t xml:space="preserve">2. Envelope</w:t>
      </w:r>
    </w:p>
    <w:p>
      <w:pPr>
        <w:pStyle w:val="FirstParagraph"/>
      </w:pPr>
      <w:r>
        <w:rPr>
          <w:b/>
          <w:bCs/>
        </w:rPr>
        <w:t xml:space="preserve">Request context (from the JWT, not the payload):</w:t>
      </w:r>
      <w:r>
        <w:t xml:space="preserve"> </w:t>
      </w:r>
      <w:r>
        <w:rPr>
          <w:rStyle w:val="VerbatimChar"/>
        </w:rPr>
        <w:t xml:space="preserve">sub</w:t>
      </w:r>
      <w:r>
        <w:t xml:space="preserve"> </w:t>
      </w:r>
      <w:r>
        <w:t xml:space="preserve">→</w:t>
      </w:r>
      <w:r>
        <w:t xml:space="preserve"> </w:t>
      </w:r>
      <w:r>
        <w:rPr>
          <w:rStyle w:val="VerbatimChar"/>
        </w:rPr>
        <w:t xml:space="preserve">user_id</w:t>
      </w:r>
      <w:r>
        <w:t xml:space="preserve">,</w:t>
      </w:r>
      <w:r>
        <w:t xml:space="preserve"> </w:t>
      </w:r>
      <w:r>
        <w:rPr>
          <w:rStyle w:val="VerbatimChar"/>
        </w:rPr>
        <w:t xml:space="preserve">cognito:groups[0]</w:t>
      </w:r>
      <w:r>
        <w:t xml:space="preserve"> </w:t>
      </w:r>
      <w:r>
        <w:t xml:space="preserve">→</w:t>
      </w:r>
      <w:r>
        <w:t xml:space="preserve"> </w:t>
      </w:r>
      <w:r>
        <w:rPr>
          <w:rStyle w:val="VerbatimChar"/>
        </w:rPr>
        <w:t xml:space="preserve">user_group</w:t>
      </w:r>
      <w:r>
        <w:t xml:space="preserve">, plus a</w:t>
      </w:r>
      <w:r>
        <w:t xml:space="preserve"> </w:t>
      </w:r>
      <w:r>
        <w:rPr>
          <w:rStyle w:val="VerbatimChar"/>
        </w:rPr>
        <w:t xml:space="preserve">request_id</w:t>
      </w:r>
      <w:r>
        <w:t xml:space="preserve"> </w:t>
      </w:r>
      <w:r>
        <w:t xml:space="preserve">generated per call (a UUID, or the API Gateway request id).</w:t>
      </w:r>
    </w:p>
    <w:p>
      <w:pPr>
        <w:pStyle w:val="BodyText"/>
      </w:pPr>
      <w:r>
        <w:rPr>
          <w:b/>
          <w:bCs/>
        </w:rPr>
        <w:t xml:space="preserve">Errors.</w:t>
      </w:r>
      <w:r>
        <w:t xml:space="preserve"> </w:t>
      </w:r>
      <w:r>
        <w:t xml:space="preserve">One shape for all tools:</w:t>
      </w:r>
    </w:p>
    <w:tbl>
      <w:tblPr>
        <w:tblStyle w:val="Table"/>
        <w:tblW w:type="dxa" w:w="10080"/>
        <w:tblLayout w:type="fixed"/>
        <w:tblLook w:firstRow="1" w:lastRow="0" w:firstColumn="0" w:lastColumn="0" w:noHBand="0" w:noVBand="0" w:val="0020"/>
      </w:tblPr>
      <w:tblGrid>
        <w:gridCol w:w="3230"/>
        <w:gridCol w:w="842"/>
        <w:gridCol w:w="1809"/>
        <w:gridCol w:w="4199"/>
      </w:tblGrid>
      <w:tr>
        <w:trPr>
          <w:tblHeader w:val="on"/>
        </w:trPr>
        <w:tc>
          <w:tcPr>
            <w:tcW w:w="3230" w:type="dxa"/>
          </w:tcPr>
          <w:p>
            <w:pPr>
              <w:pStyle w:val="Compact"/>
            </w:pPr>
            <w:r>
              <w:t xml:space="preserve">Code</w:t>
            </w:r>
          </w:p>
        </w:tc>
        <w:tc>
          <w:tcPr>
            <w:tcW w:w="842" w:type="dxa"/>
          </w:tcPr>
          <w:p>
            <w:pPr>
              <w:pStyle w:val="Compact"/>
            </w:pPr>
            <w:r>
              <w:t xml:space="preserve">HTTP</w:t>
            </w:r>
          </w:p>
        </w:tc>
        <w:tc>
          <w:tcPr>
            <w:tcW w:w="1809" w:type="dxa"/>
          </w:tcPr>
          <w:p>
            <w:pPr>
              <w:pStyle w:val="Compact"/>
            </w:pPr>
            <w:r>
              <w:t xml:space="preserve">Retryable</w:t>
            </w:r>
          </w:p>
        </w:tc>
        <w:tc>
          <w:tcPr>
            <w:tcW w:w="4199" w:type="dxa"/>
          </w:tcPr>
          <w:p>
            <w:pPr>
              <w:pStyle w:val="Compact"/>
            </w:pPr>
            <w:r>
              <w:t xml:space="preserve">When</w:t>
            </w:r>
          </w:p>
        </w:tc>
      </w:tr>
      <w:tr>
        <w:tc>
          <w:tcPr>
            <w:tcW w:w="3230" w:type="dxa"/>
          </w:tcPr>
          <w:p>
            <w:pPr>
              <w:pStyle w:val="Compact"/>
            </w:pPr>
            <w:r>
              <w:rPr>
                <w:rStyle w:val="VerbatimChar"/>
              </w:rPr>
              <w:t xml:space="preserve">UNAUTHENTICATED</w:t>
            </w:r>
          </w:p>
        </w:tc>
        <w:tc>
          <w:tcPr>
            <w:tcW w:w="842" w:type="dxa"/>
          </w:tcPr>
          <w:p>
            <w:pPr>
              <w:pStyle w:val="Compact"/>
            </w:pPr>
            <w:r>
              <w:t xml:space="preserve">401</w:t>
            </w:r>
          </w:p>
        </w:tc>
        <w:tc>
          <w:tcPr>
            <w:tcW w:w="1809" w:type="dxa"/>
          </w:tcPr>
          <w:p>
            <w:pPr>
              <w:pStyle w:val="Compact"/>
            </w:pPr>
            <w:r>
              <w:t xml:space="preserve">no</w:t>
            </w:r>
          </w:p>
        </w:tc>
        <w:tc>
          <w:tcPr>
            <w:tcW w:w="4199" w:type="dxa"/>
          </w:tcPr>
          <w:p>
            <w:pPr>
              <w:pStyle w:val="Compact"/>
            </w:pPr>
            <w:r>
              <w:t xml:space="preserve">Missing, expired or forged token</w:t>
            </w:r>
          </w:p>
        </w:tc>
      </w:tr>
      <w:tr>
        <w:tc>
          <w:tcPr>
            <w:tcW w:w="3230" w:type="dxa"/>
          </w:tcPr>
          <w:p>
            <w:pPr>
              <w:pStyle w:val="Compact"/>
            </w:pPr>
            <w:r>
              <w:rPr>
                <w:rStyle w:val="VerbatimChar"/>
              </w:rPr>
              <w:t xml:space="preserve">FORBIDDEN</w:t>
            </w:r>
          </w:p>
        </w:tc>
        <w:tc>
          <w:tcPr>
            <w:tcW w:w="842" w:type="dxa"/>
          </w:tcPr>
          <w:p>
            <w:pPr>
              <w:pStyle w:val="Compact"/>
            </w:pPr>
            <w:r>
              <w:t xml:space="preserve">403</w:t>
            </w:r>
          </w:p>
        </w:tc>
        <w:tc>
          <w:tcPr>
            <w:tcW w:w="1809" w:type="dxa"/>
          </w:tcPr>
          <w:p>
            <w:pPr>
              <w:pStyle w:val="Compact"/>
            </w:pPr>
            <w:r>
              <w:t xml:space="preserve">no</w:t>
            </w:r>
          </w:p>
        </w:tc>
        <w:tc>
          <w:tcPr>
            <w:tcW w:w="4199" w:type="dxa"/>
          </w:tcPr>
          <w:p>
            <w:pPr>
              <w:pStyle w:val="Compact"/>
            </w:pPr>
            <w:r>
              <w:t xml:space="preserve">Authenticated, but not allowed this resource</w:t>
            </w:r>
          </w:p>
        </w:tc>
      </w:tr>
      <w:tr>
        <w:tc>
          <w:tcPr>
            <w:tcW w:w="3230" w:type="dxa"/>
          </w:tcPr>
          <w:p>
            <w:pPr>
              <w:pStyle w:val="Compact"/>
            </w:pPr>
            <w:r>
              <w:rPr>
                <w:rStyle w:val="VerbatimChar"/>
              </w:rPr>
              <w:t xml:space="preserve">NOT_FOUND</w:t>
            </w:r>
          </w:p>
        </w:tc>
        <w:tc>
          <w:tcPr>
            <w:tcW w:w="842" w:type="dxa"/>
          </w:tcPr>
          <w:p>
            <w:pPr>
              <w:pStyle w:val="Compact"/>
            </w:pPr>
            <w:r>
              <w:t xml:space="preserve">404</w:t>
            </w:r>
          </w:p>
        </w:tc>
        <w:tc>
          <w:tcPr>
            <w:tcW w:w="1809" w:type="dxa"/>
          </w:tcPr>
          <w:p>
            <w:pPr>
              <w:pStyle w:val="Compact"/>
            </w:pPr>
            <w:r>
              <w:t xml:space="preserve">no</w:t>
            </w:r>
          </w:p>
        </w:tc>
        <w:tc>
          <w:tcPr>
            <w:tcW w:w="4199" w:type="dxa"/>
          </w:tcPr>
          <w:p>
            <w:pPr>
              <w:pStyle w:val="Compact"/>
            </w:pPr>
            <w:r>
              <w:t xml:space="preserve">No such id</w:t>
            </w:r>
          </w:p>
        </w:tc>
      </w:tr>
      <w:tr>
        <w:tc>
          <w:tcPr>
            <w:tcW w:w="3230" w:type="dxa"/>
          </w:tcPr>
          <w:p>
            <w:pPr>
              <w:pStyle w:val="Compact"/>
            </w:pPr>
            <w:r>
              <w:rPr>
                <w:rStyle w:val="VerbatimChar"/>
              </w:rPr>
              <w:t xml:space="preserve">INVALID_ARGUMENT</w:t>
            </w:r>
          </w:p>
        </w:tc>
        <w:tc>
          <w:tcPr>
            <w:tcW w:w="842" w:type="dxa"/>
          </w:tcPr>
          <w:p>
            <w:pPr>
              <w:pStyle w:val="Compact"/>
            </w:pPr>
            <w:r>
              <w:t xml:space="preserve">400</w:t>
            </w:r>
          </w:p>
        </w:tc>
        <w:tc>
          <w:tcPr>
            <w:tcW w:w="1809" w:type="dxa"/>
          </w:tcPr>
          <w:p>
            <w:pPr>
              <w:pStyle w:val="Compact"/>
            </w:pPr>
            <w:r>
              <w:t xml:space="preserve">no</w:t>
            </w:r>
          </w:p>
        </w:tc>
        <w:tc>
          <w:tcPr>
            <w:tcW w:w="4199" w:type="dxa"/>
          </w:tcPr>
          <w:p>
            <w:pPr>
              <w:pStyle w:val="Compact"/>
            </w:pPr>
            <w:r>
              <w:t xml:space="preserve">Input fails the schema, e.g. a malformed claim id</w:t>
            </w:r>
          </w:p>
        </w:tc>
      </w:tr>
      <w:tr>
        <w:tc>
          <w:tcPr>
            <w:tcW w:w="3230" w:type="dxa"/>
          </w:tcPr>
          <w:p>
            <w:pPr>
              <w:pStyle w:val="Compact"/>
            </w:pPr>
            <w:r>
              <w:rPr>
                <w:rStyle w:val="VerbatimChar"/>
              </w:rPr>
              <w:t xml:space="preserve">RATE_LIMITED</w:t>
            </w:r>
          </w:p>
        </w:tc>
        <w:tc>
          <w:tcPr>
            <w:tcW w:w="842" w:type="dxa"/>
          </w:tcPr>
          <w:p>
            <w:pPr>
              <w:pStyle w:val="Compact"/>
            </w:pPr>
            <w:r>
              <w:t xml:space="preserve">429</w:t>
            </w:r>
          </w:p>
        </w:tc>
        <w:tc>
          <w:tcPr>
            <w:tcW w:w="1809" w:type="dxa"/>
          </w:tcPr>
          <w:p>
            <w:pPr>
              <w:pStyle w:val="Compact"/>
            </w:pPr>
            <w:r>
              <w:t xml:space="preserve">yes, back off</w:t>
            </w:r>
          </w:p>
        </w:tc>
        <w:tc>
          <w:tcPr>
            <w:tcW w:w="4199" w:type="dxa"/>
          </w:tcPr>
          <w:p>
            <w:pPr>
              <w:pStyle w:val="Compact"/>
            </w:pPr>
            <w:r>
              <w:t xml:space="preserve">More than 20 calls/s per user</w:t>
            </w:r>
          </w:p>
        </w:tc>
      </w:tr>
      <w:tr>
        <w:tc>
          <w:tcPr>
            <w:tcW w:w="3230" w:type="dxa"/>
          </w:tcPr>
          <w:p>
            <w:pPr>
              <w:pStyle w:val="Compact"/>
            </w:pPr>
            <w:r>
              <w:rPr>
                <w:rStyle w:val="VerbatimChar"/>
              </w:rPr>
              <w:t xml:space="preserve">UPSTREAM_UNAVAILABLE</w:t>
            </w:r>
          </w:p>
        </w:tc>
        <w:tc>
          <w:tcPr>
            <w:tcW w:w="842" w:type="dxa"/>
          </w:tcPr>
          <w:p>
            <w:pPr>
              <w:pStyle w:val="Compact"/>
            </w:pPr>
            <w:r>
              <w:t xml:space="preserve">503</w:t>
            </w:r>
          </w:p>
        </w:tc>
        <w:tc>
          <w:tcPr>
            <w:tcW w:w="1809" w:type="dxa"/>
          </w:tcPr>
          <w:p>
            <w:pPr>
              <w:pStyle w:val="Compact"/>
            </w:pPr>
            <w:r>
              <w:t xml:space="preserve">yes, ≤ 2 retries</w:t>
            </w:r>
          </w:p>
        </w:tc>
        <w:tc>
          <w:tcPr>
            <w:tcW w:w="4199" w:type="dxa"/>
          </w:tcPr>
          <w:p>
            <w:pPr>
              <w:pStyle w:val="Compact"/>
            </w:pPr>
            <w:r>
              <w:t xml:space="preserve">Backing system is down</w:t>
            </w:r>
          </w:p>
        </w:tc>
      </w:tr>
      <w:tr>
        <w:tc>
          <w:tcPr>
            <w:tcW w:w="3230" w:type="dxa"/>
          </w:tcPr>
          <w:p>
            <w:pPr>
              <w:pStyle w:val="Compact"/>
            </w:pPr>
            <w:r>
              <w:rPr>
                <w:rStyle w:val="VerbatimChar"/>
              </w:rPr>
              <w:t xml:space="preserve">INTERNAL</w:t>
            </w:r>
          </w:p>
        </w:tc>
        <w:tc>
          <w:tcPr>
            <w:tcW w:w="842" w:type="dxa"/>
          </w:tcPr>
          <w:p>
            <w:pPr>
              <w:pStyle w:val="Compact"/>
            </w:pPr>
            <w:r>
              <w:t xml:space="preserve">500</w:t>
            </w:r>
          </w:p>
        </w:tc>
        <w:tc>
          <w:tcPr>
            <w:tcW w:w="1809" w:type="dxa"/>
          </w:tcPr>
          <w:p>
            <w:pPr>
              <w:pStyle w:val="Compact"/>
            </w:pPr>
            <w:r>
              <w:t xml:space="preserve">no</w:t>
            </w:r>
          </w:p>
        </w:tc>
        <w:tc>
          <w:tcPr>
            <w:tcW w:w="4199" w:type="dxa"/>
          </w:tcPr>
          <w:p>
            <w:pPr>
              <w:pStyle w:val="Compact"/>
            </w:pPr>
            <w:r>
              <w:t xml:space="preserve">A bug. Alarmed in W5</w:t>
            </w:r>
          </w:p>
        </w:tc>
      </w:tr>
    </w:tbl>
    <w:p>
      <w:pPr>
        <w:pStyle w:val="BodyText"/>
      </w:pPr>
      <w:r>
        <w:rPr>
          <w:rStyle w:val="VerbatimChar"/>
        </w:rPr>
        <w:t xml:space="preserve">FORBIDDEN</w:t>
      </w:r>
      <w:r>
        <w:t xml:space="preserve"> </w:t>
      </w:r>
      <w:r>
        <w:t xml:space="preserve">messages are generic:</w:t>
      </w:r>
      <w:r>
        <w:t xml:space="preserve"> </w:t>
      </w:r>
      <w:r>
        <w:rPr>
          <w:i/>
          <w:iCs/>
        </w:rPr>
        <w:t xml:space="preserve">“Claim CLM-2024-1873 is not available to you.”</w:t>
      </w:r>
      <w:r>
        <w:t xml:space="preserve"> </w:t>
      </w:r>
      <w:r>
        <w:t xml:space="preserve">The specific reason, e.g. </w:t>
      </w:r>
      <w:r>
        <w:rPr>
          <w:i/>
          <w:iCs/>
        </w:rPr>
        <w:t xml:space="preserve">assigned to carol</w:t>
      </w:r>
      <w:r>
        <w:t xml:space="preserve">, is written to the audit log only. Telling one adjuster who owns another adjuster’s claim is a small leak, and the contract closes it.</w:t>
      </w:r>
    </w:p>
    <w:p>
      <w:pPr>
        <w:pStyle w:val="BodyText"/>
      </w:pPr>
      <w:r>
        <w:rPr>
          <w:b/>
          <w:bCs/>
        </w:rPr>
        <w:t xml:space="preserve">Audit record</w:t>
      </w:r>
      <w:r>
        <w:t xml:space="preserve"> </w:t>
      </w:r>
      <w:r>
        <w:t xml:space="preserve">(</w:t>
      </w:r>
      <w:r>
        <w:rPr>
          <w:rStyle w:val="VerbatimChar"/>
        </w:rPr>
        <w:t xml:space="preserve">$defs/AuditRecord</w:t>
      </w:r>
      <w:r>
        <w:t xml:space="preserve">):</w:t>
      </w:r>
      <w:r>
        <w:t xml:space="preserve"> </w:t>
      </w:r>
      <w:r>
        <w:rPr>
          <w:rStyle w:val="VerbatimChar"/>
        </w:rPr>
        <w:t xml:space="preserve">timestamp, request_id, user_id, user_group, tool, resource_id, result (allowed|denied|error), reason, contract_version</w:t>
      </w:r>
      <w:r>
        <w:t xml:space="preserve">. Written to CloudWatch Logs as one JSON line per call.</w:t>
      </w:r>
    </w:p>
    <w:bookmarkEnd w:id="52"/>
    <w:bookmarkStart w:id="59" w:name="tools"/>
    <w:p>
      <w:pPr>
        <w:pStyle w:val="Heading2"/>
      </w:pPr>
      <w:r>
        <w:t xml:space="preserve">3. Tools</w:t>
      </w:r>
    </w:p>
    <w:bookmarkStart w:id="53" w:name="cms.list_claims-cms"/>
    <w:p>
      <w:pPr>
        <w:pStyle w:val="Heading3"/>
      </w:pPr>
      <w:r>
        <w:t xml:space="preserve">3.1</w:t>
      </w:r>
      <w:r>
        <w:t xml:space="preserve"> </w:t>
      </w:r>
      <w:r>
        <w:rPr>
          <w:rStyle w:val="VerbatimChar"/>
        </w:rPr>
        <w:t xml:space="preserve">cms.list_claims</w:t>
      </w:r>
      <w:r>
        <w:t xml:space="preserve"> </w:t>
      </w:r>
      <w:r>
        <w:t xml:space="preserve">— CMS</w:t>
      </w:r>
    </w:p>
    <w:tbl>
      <w:tblPr>
        <w:tblStyle w:val="Table"/>
        <w:tblW w:type="dxa" w:w="10080"/>
        <w:tblLayout w:type="fixed"/>
        <w:tblLook w:firstRow="0" w:lastRow="0" w:firstColumn="0" w:lastColumn="0" w:noHBand="0" w:noVBand="0" w:val="0000"/>
      </w:tblPr>
      <w:tblGrid>
        <w:gridCol w:w="2185"/>
        <w:gridCol w:w="7895"/>
      </w:tblGrid>
      <w:tr>
        <w:tc>
          <w:tcPr>
            <w:tcW w:w="2185" w:type="dxa"/>
          </w:tcPr>
          <w:p>
            <w:pPr>
              <w:pStyle w:val="Compact"/>
            </w:pPr>
            <w:r>
              <w:t xml:space="preserve">Purpose</w:t>
            </w:r>
          </w:p>
        </w:tc>
        <w:tc>
          <w:tcPr>
            <w:tcW w:w="7895" w:type="dxa"/>
          </w:tcPr>
          <w:p>
            <w:pPr>
              <w:pStyle w:val="Compact"/>
            </w:pPr>
            <w:r>
              <w:t xml:space="preserve">The console’s work queue: claims this caller may read</w:t>
            </w:r>
          </w:p>
        </w:tc>
      </w:tr>
      <w:tr>
        <w:tc>
          <w:tcPr>
            <w:tcW w:w="2185" w:type="dxa"/>
          </w:tcPr>
          <w:p>
            <w:pPr>
              <w:pStyle w:val="Compact"/>
            </w:pPr>
            <w:r>
              <w:t xml:space="preserve">Input</w:t>
            </w:r>
          </w:p>
        </w:tc>
        <w:tc>
          <w:tcPr>
            <w:tcW w:w="7895" w:type="dxa"/>
          </w:tcPr>
          <w:p>
            <w:pPr>
              <w:pStyle w:val="Compact"/>
            </w:pPr>
            <w:r>
              <w:rPr>
                <w:rStyle w:val="VerbatimChar"/>
              </w:rPr>
              <w:t xml:space="preserve">status?</w:t>
            </w:r>
            <w:r>
              <w:t xml:space="preserve"> </w:t>
            </w:r>
            <w:r>
              <w:t xml:space="preserve">(ClaimStatus) ·</w:t>
            </w:r>
            <w:r>
              <w:t xml:space="preserve"> </w:t>
            </w:r>
            <w:r>
              <w:rPr>
                <w:rStyle w:val="VerbatimChar"/>
              </w:rPr>
              <w:t xml:space="preserve">limit?</w:t>
            </w:r>
            <w:r>
              <w:t xml:space="preserve"> </w:t>
            </w:r>
            <w:r>
              <w:t xml:space="preserve">1–100, default 50</w:t>
            </w:r>
          </w:p>
        </w:tc>
      </w:tr>
      <w:tr>
        <w:tc>
          <w:tcPr>
            <w:tcW w:w="2185" w:type="dxa"/>
          </w:tcPr>
          <w:p>
            <w:pPr>
              <w:pStyle w:val="Compact"/>
            </w:pPr>
            <w:r>
              <w:t xml:space="preserve">Output</w:t>
            </w:r>
          </w:p>
        </w:tc>
        <w:tc>
          <w:tcPr>
            <w:tcW w:w="7895" w:type="dxa"/>
          </w:tcPr>
          <w:p>
            <w:pPr>
              <w:pStyle w:val="Compact"/>
            </w:pPr>
            <w:r>
              <w:rPr>
                <w:rStyle w:val="VerbatimChar"/>
              </w:rPr>
              <w:t xml:space="preserve">claims: ClaimSummary[]</w:t>
            </w:r>
            <w:r>
              <w:t xml:space="preserve">,</w:t>
            </w:r>
            <w:r>
              <w:t xml:space="preserve"> </w:t>
            </w:r>
            <w:r>
              <w:rPr>
                <w:rStyle w:val="VerbatimChar"/>
              </w:rPr>
              <w:t xml:space="preserve">total</w:t>
            </w:r>
            <w:r>
              <w:t xml:space="preserve"> </w:t>
            </w:r>
            <w:r>
              <w:t xml:space="preserve">(visible count before the limit)</w:t>
            </w:r>
          </w:p>
        </w:tc>
      </w:tr>
      <w:tr>
        <w:tc>
          <w:tcPr>
            <w:tcW w:w="2185" w:type="dxa"/>
          </w:tcPr>
          <w:p>
            <w:pPr>
              <w:pStyle w:val="Compact"/>
            </w:pPr>
            <w:r>
              <w:t xml:space="preserve">Authorisation</w:t>
            </w:r>
          </w:p>
        </w:tc>
        <w:tc>
          <w:tcPr>
            <w:tcW w:w="7895" w:type="dxa"/>
          </w:tcPr>
          <w:p>
            <w:pPr>
              <w:pStyle w:val="Compact"/>
            </w:pPr>
            <w:r>
              <w:t xml:space="preserve">Filters by</w:t>
            </w:r>
            <w:r>
              <w:t xml:space="preserve"> </w:t>
            </w:r>
            <w:r>
              <w:rPr>
                <w:rStyle w:val="VerbatimChar"/>
              </w:rPr>
              <w:t xml:space="preserve">can_read_claim</w:t>
            </w:r>
            <w:r>
              <w:t xml:space="preserve">, so callers never learn about claims they can’t read</w:t>
            </w:r>
          </w:p>
        </w:tc>
      </w:tr>
      <w:tr>
        <w:tc>
          <w:tcPr>
            <w:tcW w:w="2185" w:type="dxa"/>
          </w:tcPr>
          <w:p>
            <w:pPr>
              <w:pStyle w:val="Compact"/>
            </w:pPr>
            <w:r>
              <w:t xml:space="preserve">Audit</w:t>
            </w:r>
          </w:p>
        </w:tc>
        <w:tc>
          <w:tcPr>
            <w:tcW w:w="7895" w:type="dxa"/>
          </w:tcPr>
          <w:p>
            <w:pPr>
              <w:pStyle w:val="Compact"/>
            </w:pPr>
            <w:r>
              <w:t xml:space="preserve">One record,</w:t>
            </w:r>
            <w:r>
              <w:t xml:space="preserve"> </w:t>
            </w:r>
            <w:r>
              <w:rPr>
                <w:rStyle w:val="VerbatimChar"/>
              </w:rPr>
              <w:t xml:space="preserve">resource_id: "claims"</w:t>
            </w:r>
            <w:r>
              <w:t xml:space="preserve">, reason</w:t>
            </w:r>
            <w:r>
              <w:t xml:space="preserve"> </w:t>
            </w:r>
            <w:r>
              <w:rPr>
                <w:rStyle w:val="VerbatimChar"/>
              </w:rPr>
              <w:t xml:space="preserve">returned n/total</w:t>
            </w:r>
          </w:p>
        </w:tc>
      </w:tr>
      <w:tr>
        <w:tc>
          <w:tcPr>
            <w:tcW w:w="2185" w:type="dxa"/>
          </w:tcPr>
          <w:p>
            <w:pPr>
              <w:pStyle w:val="Compact"/>
            </w:pPr>
            <w:r>
              <w:t xml:space="preserve">HTTP route</w:t>
            </w:r>
          </w:p>
        </w:tc>
        <w:tc>
          <w:tcPr>
            <w:tcW w:w="7895" w:type="dxa"/>
          </w:tcPr>
          <w:p>
            <w:pPr>
              <w:pStyle w:val="Compact"/>
            </w:pPr>
            <w:r>
              <w:rPr>
                <w:rStyle w:val="VerbatimChar"/>
              </w:rPr>
              <w:t xml:space="preserve">GET /claims?status=&amp;limit=</w:t>
            </w:r>
          </w:p>
        </w:tc>
      </w:tr>
    </w:tbl>
    <w:bookmarkEnd w:id="53"/>
    <w:bookmarkStart w:id="54" w:name="cms.get_claim-cms"/>
    <w:p>
      <w:pPr>
        <w:pStyle w:val="Heading3"/>
      </w:pPr>
      <w:r>
        <w:t xml:space="preserve">3.2</w:t>
      </w:r>
      <w:r>
        <w:t xml:space="preserve"> </w:t>
      </w:r>
      <w:r>
        <w:rPr>
          <w:rStyle w:val="VerbatimChar"/>
        </w:rPr>
        <w:t xml:space="preserve">cms.get_claim</w:t>
      </w:r>
      <w:r>
        <w:t xml:space="preserve"> </w:t>
      </w:r>
      <w:r>
        <w:t xml:space="preserve">— CMS</w:t>
      </w:r>
    </w:p>
    <w:tbl>
      <w:tblPr>
        <w:tblStyle w:val="Table"/>
        <w:tblW w:type="dxa" w:w="10080"/>
        <w:tblLayout w:type="fixed"/>
        <w:tblLook w:firstRow="0" w:lastRow="0" w:firstColumn="0" w:lastColumn="0" w:noHBand="0" w:noVBand="0" w:val="0000"/>
      </w:tblPr>
      <w:tblGrid>
        <w:gridCol w:w="1951"/>
        <w:gridCol w:w="8129"/>
      </w:tblGrid>
      <w:tr>
        <w:tc>
          <w:tcPr>
            <w:tcW w:w="1951" w:type="dxa"/>
          </w:tcPr>
          <w:p>
            <w:pPr>
              <w:pStyle w:val="Compact"/>
            </w:pPr>
            <w:r>
              <w:t xml:space="preserve">Purpose</w:t>
            </w:r>
          </w:p>
        </w:tc>
        <w:tc>
          <w:tcPr>
            <w:tcW w:w="8129" w:type="dxa"/>
          </w:tcPr>
          <w:p>
            <w:pPr>
              <w:pStyle w:val="Compact"/>
            </w:pPr>
            <w:r>
              <w:t xml:space="preserve">Full claim record for the dossier</w:t>
            </w:r>
          </w:p>
        </w:tc>
      </w:tr>
      <w:tr>
        <w:tc>
          <w:tcPr>
            <w:tcW w:w="1951" w:type="dxa"/>
          </w:tcPr>
          <w:p>
            <w:pPr>
              <w:pStyle w:val="Compact"/>
            </w:pPr>
            <w:r>
              <w:t xml:space="preserve">Input</w:t>
            </w:r>
          </w:p>
        </w:tc>
        <w:tc>
          <w:tcPr>
            <w:tcW w:w="8129" w:type="dxa"/>
          </w:tcPr>
          <w:p>
            <w:pPr>
              <w:pStyle w:val="Compact"/>
            </w:pPr>
            <w:r>
              <w:rPr>
                <w:rStyle w:val="VerbatimChar"/>
              </w:rPr>
              <w:t xml:space="preserve">claim_id</w:t>
            </w:r>
            <w:r>
              <w:t xml:space="preserve"> </w:t>
            </w:r>
            <w:r>
              <w:t xml:space="preserve">(pattern</w:t>
            </w:r>
            <w:r>
              <w:t xml:space="preserve"> </w:t>
            </w:r>
            <w:r>
              <w:rPr>
                <w:rStyle w:val="VerbatimChar"/>
              </w:rPr>
              <w:t xml:space="preserve">CLM-dddd-dddd</w:t>
            </w:r>
            <w:r>
              <w:t xml:space="preserve">)</w:t>
            </w:r>
          </w:p>
        </w:tc>
      </w:tr>
      <w:tr>
        <w:tc>
          <w:tcPr>
            <w:tcW w:w="1951" w:type="dxa"/>
          </w:tcPr>
          <w:p>
            <w:pPr>
              <w:pStyle w:val="Compact"/>
            </w:pPr>
            <w:r>
              <w:t xml:space="preserve">Output</w:t>
            </w:r>
          </w:p>
        </w:tc>
        <w:tc>
          <w:tcPr>
            <w:tcW w:w="8129" w:type="dxa"/>
          </w:tcPr>
          <w:p>
            <w:pPr>
              <w:pStyle w:val="Compact"/>
            </w:pPr>
            <w:r>
              <w:rPr>
                <w:rStyle w:val="VerbatimChar"/>
              </w:rPr>
              <w:t xml:space="preserve">claim: Claim</w:t>
            </w:r>
            <w:r>
              <w:t xml:space="preserve"> </w:t>
            </w:r>
            <w:r>
              <w:t xml:space="preserve">(19 typed fields; see data shapes §1)</w:t>
            </w:r>
          </w:p>
        </w:tc>
      </w:tr>
      <w:tr>
        <w:tc>
          <w:tcPr>
            <w:tcW w:w="1951" w:type="dxa"/>
          </w:tcPr>
          <w:p>
            <w:pPr>
              <w:pStyle w:val="Compact"/>
            </w:pPr>
            <w:r>
              <w:t xml:space="preserve">Authorisation</w:t>
            </w:r>
          </w:p>
        </w:tc>
        <w:tc>
          <w:tcPr>
            <w:tcW w:w="8129" w:type="dxa"/>
          </w:tcPr>
          <w:p>
            <w:pPr>
              <w:pStyle w:val="Compact"/>
            </w:pPr>
            <w:r>
              <w:rPr>
                <w:rStyle w:val="VerbatimChar"/>
              </w:rPr>
              <w:t xml:space="preserve">can_read_claim</w:t>
            </w:r>
            <w:r>
              <w:t xml:space="preserve">. Senior adjusters read all; adjusters read their own assignments; fraud investigators read claims with score ≥ 0.50; total-loss appraisers read Escalated claims or estimate ≥ 75% of ACV</w:t>
            </w:r>
          </w:p>
        </w:tc>
      </w:tr>
      <w:tr>
        <w:tc>
          <w:tcPr>
            <w:tcW w:w="1951" w:type="dxa"/>
          </w:tcPr>
          <w:p>
            <w:pPr>
              <w:pStyle w:val="Compact"/>
            </w:pPr>
            <w:r>
              <w:t xml:space="preserve">Errors</w:t>
            </w:r>
          </w:p>
        </w:tc>
        <w:tc>
          <w:tcPr>
            <w:tcW w:w="8129" w:type="dxa"/>
          </w:tcPr>
          <w:p>
            <w:pPr>
              <w:pStyle w:val="Compact"/>
            </w:pPr>
            <w:r>
              <w:t xml:space="preserve">404 if no claim exists. 403 if not permitted</w:t>
            </w:r>
          </w:p>
        </w:tc>
      </w:tr>
      <w:tr>
        <w:tc>
          <w:tcPr>
            <w:tcW w:w="1951" w:type="dxa"/>
          </w:tcPr>
          <w:p>
            <w:pPr>
              <w:pStyle w:val="Compact"/>
            </w:pPr>
            <w:r>
              <w:t xml:space="preserve">HTTP route</w:t>
            </w:r>
          </w:p>
        </w:tc>
        <w:tc>
          <w:tcPr>
            <w:tcW w:w="8129" w:type="dxa"/>
          </w:tcPr>
          <w:p>
            <w:pPr>
              <w:pStyle w:val="Compact"/>
            </w:pPr>
            <w:r>
              <w:rPr>
                <w:rStyle w:val="VerbatimChar"/>
              </w:rPr>
              <w:t xml:space="preserve">GET /claims/{claim_id}</w:t>
            </w:r>
          </w:p>
        </w:tc>
      </w:tr>
    </w:tbl>
    <w:p>
      <w:pPr>
        <w:pStyle w:val="BodyText"/>
      </w:pPr>
      <w:r>
        <w:t xml:space="preserve">Example (allowed, Alice reading her own claim):</w:t>
      </w:r>
    </w:p>
    <w:p>
      <w:pPr>
        <w:pStyle w:val="SourceCode"/>
      </w:pPr>
      <w:r>
        <w:rPr>
          <w:rStyle w:val="FunctionTok"/>
        </w:rPr>
        <w:t xml:space="preserve">{</w:t>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"claim_id"</w:t>
      </w:r>
      <w:r>
        <w:rPr>
          <w:rStyle w:val="FunctionTok"/>
        </w:rPr>
        <w:t xml:space="preserve">:</w:t>
      </w:r>
      <w:r>
        <w:rPr>
          <w:rStyle w:val="NormalTok"/>
        </w:rPr>
        <w:t xml:space="preserve"> </w:t>
      </w:r>
      <w:r>
        <w:rPr>
          <w:rStyle w:val="StringTok"/>
        </w:rPr>
        <w:t xml:space="preserve">"CLM-2024-1800"</w:t>
      </w:r>
      <w:r>
        <w:rPr>
          <w:rStyle w:val="FunctionTok"/>
        </w:rPr>
        <w:t xml:space="preserve">,</w:t>
      </w:r>
      <w:r>
        <w:rPr>
          <w:rStyle w:val="NormalTok"/>
        </w:rPr>
        <w:t xml:space="preserve"> </w:t>
      </w:r>
      <w:r>
        <w:rPr>
          <w:rStyle w:val="DataTypeTok"/>
        </w:rPr>
        <w:t xml:space="preserve">"policy_id"</w:t>
      </w:r>
      <w:r>
        <w:rPr>
          <w:rStyle w:val="FunctionTok"/>
        </w:rPr>
        <w:t xml:space="preserve">:</w:t>
      </w:r>
      <w:r>
        <w:rPr>
          <w:rStyle w:val="NormalTok"/>
        </w:rPr>
        <w:t xml:space="preserve"> </w:t>
      </w:r>
      <w:r>
        <w:rPr>
          <w:rStyle w:val="StringTok"/>
        </w:rPr>
        <w:t xml:space="preserve">"POL-TXA-88000"</w:t>
      </w:r>
      <w:r>
        <w:rPr>
          <w:rStyle w:val="FunctionTok"/>
        </w:rPr>
        <w:t xml:space="preserve">,</w:t>
      </w:r>
      <w:r>
        <w:rPr>
          <w:rStyle w:val="NormalTok"/>
        </w:rPr>
        <w:t xml:space="preserve"> </w:t>
      </w:r>
      <w:r>
        <w:rPr>
          <w:rStyle w:val="DataTypeTok"/>
        </w:rPr>
        <w:t xml:space="preserve">"vehicle_vin"</w:t>
      </w:r>
      <w:r>
        <w:rPr>
          <w:rStyle w:val="FunctionTok"/>
        </w:rPr>
        <w:t xml:space="preserve">:</w:t>
      </w:r>
      <w:r>
        <w:rPr>
          <w:rStyle w:val="NormalTok"/>
        </w:rPr>
        <w:t xml:space="preserve"> </w:t>
      </w:r>
      <w:r>
        <w:rPr>
          <w:rStyle w:val="StringTok"/>
        </w:rPr>
        <w:t xml:space="preserve">"4T1BF1FK5MU500123"</w:t>
      </w:r>
      <w:r>
        <w:rPr>
          <w:rStyle w:val="FunctionTok"/>
        </w:rPr>
        <w:t xml:space="preserve">,</w:t>
      </w:r>
      <w:r>
        <w:br/>
      </w:r>
      <w:r>
        <w:rPr>
          <w:rStyle w:val="NormalTok"/>
        </w:rPr>
        <w:t xml:space="preserve">  </w:t>
      </w:r>
      <w:r>
        <w:rPr>
          <w:rStyle w:val="DataTypeTok"/>
        </w:rPr>
        <w:t xml:space="preserve">"vehicle_year"</w:t>
      </w:r>
      <w:r>
        <w:rPr>
          <w:rStyle w:val="FunctionTok"/>
        </w:rPr>
        <w:t xml:space="preserve">:</w:t>
      </w:r>
      <w:r>
        <w:rPr>
          <w:rStyle w:val="NormalTok"/>
        </w:rPr>
        <w:t xml:space="preserve"> </w:t>
      </w:r>
      <w:r>
        <w:rPr>
          <w:rStyle w:val="DecValTok"/>
        </w:rPr>
        <w:t xml:space="preserve">2021</w:t>
      </w:r>
      <w:r>
        <w:rPr>
          <w:rStyle w:val="FunctionTok"/>
        </w:rPr>
        <w:t xml:space="preserve">,</w:t>
      </w:r>
      <w:r>
        <w:rPr>
          <w:rStyle w:val="NormalTok"/>
        </w:rPr>
        <w:t xml:space="preserve"> </w:t>
      </w:r>
      <w:r>
        <w:rPr>
          <w:rStyle w:val="DataTypeTok"/>
        </w:rPr>
        <w:t xml:space="preserve">"vehicle_make"</w:t>
      </w:r>
      <w:r>
        <w:rPr>
          <w:rStyle w:val="FunctionTok"/>
        </w:rPr>
        <w:t xml:space="preserve">:</w:t>
      </w:r>
      <w:r>
        <w:rPr>
          <w:rStyle w:val="NormalTok"/>
        </w:rPr>
        <w:t xml:space="preserve"> </w:t>
      </w:r>
      <w:r>
        <w:rPr>
          <w:rStyle w:val="StringTok"/>
        </w:rPr>
        <w:t xml:space="preserve">"Toyota"</w:t>
      </w:r>
      <w:r>
        <w:rPr>
          <w:rStyle w:val="FunctionTok"/>
        </w:rPr>
        <w:t xml:space="preserve">,</w:t>
      </w:r>
      <w:r>
        <w:rPr>
          <w:rStyle w:val="NormalTok"/>
        </w:rPr>
        <w:t xml:space="preserve"> </w:t>
      </w:r>
      <w:r>
        <w:rPr>
          <w:rStyle w:val="DataTypeTok"/>
        </w:rPr>
        <w:t xml:space="preserve">"vehicle_model"</w:t>
      </w:r>
      <w:r>
        <w:rPr>
          <w:rStyle w:val="FunctionTok"/>
        </w:rPr>
        <w:t xml:space="preserve">:</w:t>
      </w:r>
      <w:r>
        <w:rPr>
          <w:rStyle w:val="NormalTok"/>
        </w:rPr>
        <w:t xml:space="preserve"> </w:t>
      </w:r>
      <w:r>
        <w:rPr>
          <w:rStyle w:val="StringTok"/>
        </w:rPr>
        <w:t xml:space="preserve">"Camry"</w:t>
      </w:r>
      <w:r>
        <w:rPr>
          <w:rStyle w:val="FunctionTok"/>
        </w:rPr>
        <w:t xml:space="preserve">,</w:t>
      </w:r>
      <w:r>
        <w:rPr>
          <w:rStyle w:val="NormalTok"/>
        </w:rPr>
        <w:t xml:space="preserve"> </w:t>
      </w:r>
      <w:r>
        <w:rPr>
          <w:rStyle w:val="DataTypeTok"/>
        </w:rPr>
        <w:t xml:space="preserve">"vehicle_acv_usd"</w:t>
      </w:r>
      <w:r>
        <w:rPr>
          <w:rStyle w:val="FunctionTok"/>
        </w:rPr>
        <w:t xml:space="preserve">:</w:t>
      </w:r>
      <w:r>
        <w:rPr>
          <w:rStyle w:val="NormalTok"/>
        </w:rPr>
        <w:t xml:space="preserve"> </w:t>
      </w:r>
      <w:r>
        <w:rPr>
          <w:rStyle w:val="DecValTok"/>
        </w:rPr>
        <w:t xml:space="preserve">24500</w:t>
      </w:r>
      <w:r>
        <w:rPr>
          <w:rStyle w:val="FunctionTok"/>
        </w:rPr>
        <w:t xml:space="preserve">,</w:t>
      </w:r>
      <w:r>
        <w:br/>
      </w:r>
      <w:r>
        <w:rPr>
          <w:rStyle w:val="NormalTok"/>
        </w:rPr>
        <w:t xml:space="preserve">  </w:t>
      </w:r>
      <w:r>
        <w:rPr>
          <w:rStyle w:val="DataTypeTok"/>
        </w:rPr>
        <w:t xml:space="preserve">"incident_date"</w:t>
      </w:r>
      <w:r>
        <w:rPr>
          <w:rStyle w:val="FunctionTok"/>
        </w:rPr>
        <w:t xml:space="preserve">:</w:t>
      </w:r>
      <w:r>
        <w:rPr>
          <w:rStyle w:val="NormalTok"/>
        </w:rPr>
        <w:t xml:space="preserve"> </w:t>
      </w:r>
      <w:r>
        <w:rPr>
          <w:rStyle w:val="StringTok"/>
        </w:rPr>
        <w:t xml:space="preserve">"2024-02-14"</w:t>
      </w:r>
      <w:r>
        <w:rPr>
          <w:rStyle w:val="FunctionTok"/>
        </w:rPr>
        <w:t xml:space="preserve">,</w:t>
      </w:r>
      <w:r>
        <w:rPr>
          <w:rStyle w:val="NormalTok"/>
        </w:rPr>
        <w:t xml:space="preserve"> </w:t>
      </w:r>
      <w:r>
        <w:rPr>
          <w:rStyle w:val="DataTypeTok"/>
        </w:rPr>
        <w:t xml:space="preserve">"incident_type"</w:t>
      </w:r>
      <w:r>
        <w:rPr>
          <w:rStyle w:val="FunctionTok"/>
        </w:rPr>
        <w:t xml:space="preserve">:</w:t>
      </w:r>
      <w:r>
        <w:rPr>
          <w:rStyle w:val="NormalTok"/>
        </w:rPr>
        <w:t xml:space="preserve"> </w:t>
      </w:r>
      <w:r>
        <w:rPr>
          <w:rStyle w:val="StringTok"/>
        </w:rPr>
        <w:t xml:space="preserve">"Parking lot collision"</w:t>
      </w:r>
      <w:r>
        <w:rPr>
          <w:rStyle w:val="FunctionTok"/>
        </w:rPr>
        <w:t xml:space="preserve">,</w:t>
      </w:r>
      <w:r>
        <w:br/>
      </w:r>
      <w:r>
        <w:rPr>
          <w:rStyle w:val="NormalTok"/>
        </w:rPr>
        <w:t xml:space="preserve">  </w:t>
      </w:r>
      <w:r>
        <w:rPr>
          <w:rStyle w:val="DataTypeTok"/>
        </w:rPr>
        <w:t xml:space="preserve">"incident_description"</w:t>
      </w:r>
      <w:r>
        <w:rPr>
          <w:rStyle w:val="FunctionTok"/>
        </w:rPr>
        <w:t xml:space="preserve">:</w:t>
      </w:r>
      <w:r>
        <w:rPr>
          <w:rStyle w:val="NormalTok"/>
        </w:rPr>
        <w:t xml:space="preserve"> </w:t>
      </w:r>
      <w:r>
        <w:rPr>
          <w:rStyle w:val="StringTok"/>
        </w:rPr>
        <w:t xml:space="preserve">"Claimant reversed out of space; struck by another vehicle. Other driver admitted fault at scene."</w:t>
      </w:r>
      <w:r>
        <w:rPr>
          <w:rStyle w:val="FunctionTok"/>
        </w:rPr>
        <w:t xml:space="preserve">,</w:t>
      </w:r>
      <w:r>
        <w:br/>
      </w:r>
      <w:r>
        <w:rPr>
          <w:rStyle w:val="NormalTok"/>
        </w:rPr>
        <w:t xml:space="preserve">  </w:t>
      </w:r>
      <w:r>
        <w:rPr>
          <w:rStyle w:val="DataTypeTok"/>
        </w:rPr>
        <w:t xml:space="preserve">"damage_description"</w:t>
      </w:r>
      <w:r>
        <w:rPr>
          <w:rStyle w:val="FunctionTok"/>
        </w:rPr>
        <w:t xml:space="preserve">:</w:t>
      </w:r>
      <w:r>
        <w:rPr>
          <w:rStyle w:val="NormalTok"/>
        </w:rPr>
        <w:t xml:space="preserve"> </w:t>
      </w:r>
      <w:r>
        <w:rPr>
          <w:rStyle w:val="StringTok"/>
        </w:rPr>
        <w:t xml:space="preserve">"Rear bumper assembly, trunk lid, rear parking sensors"</w:t>
      </w:r>
      <w:r>
        <w:rPr>
          <w:rStyle w:val="FunctionTok"/>
        </w:rPr>
        <w:t xml:space="preserve">,</w:t>
      </w:r>
      <w:r>
        <w:rPr>
          <w:rStyle w:val="NormalTok"/>
        </w:rPr>
        <w:t xml:space="preserve"> </w:t>
      </w:r>
      <w:r>
        <w:rPr>
          <w:rStyle w:val="DataTypeTok"/>
        </w:rPr>
        <w:t xml:space="preserve">"repair_estimate_usd"</w:t>
      </w:r>
      <w:r>
        <w:rPr>
          <w:rStyle w:val="FunctionTok"/>
        </w:rPr>
        <w:t xml:space="preserve">:</w:t>
      </w:r>
      <w:r>
        <w:rPr>
          <w:rStyle w:val="NormalTok"/>
        </w:rPr>
        <w:t xml:space="preserve"> </w:t>
      </w:r>
      <w:r>
        <w:rPr>
          <w:rStyle w:val="DecValTok"/>
        </w:rPr>
        <w:t xml:space="preserve">3200</w:t>
      </w:r>
      <w:r>
        <w:rPr>
          <w:rStyle w:val="FunctionTok"/>
        </w:rPr>
        <w:t xml:space="preserve">,</w:t>
      </w:r>
      <w:r>
        <w:br/>
      </w:r>
      <w:r>
        <w:rPr>
          <w:rStyle w:val="NormalTok"/>
        </w:rPr>
        <w:t xml:space="preserve">  </w:t>
      </w:r>
      <w:r>
        <w:rPr>
          <w:rStyle w:val="DataTypeTok"/>
        </w:rPr>
        <w:t xml:space="preserve">"injuries_reported"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"police_report_filed"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"assigned_adjuster"</w:t>
      </w:r>
      <w:r>
        <w:rPr>
          <w:rStyle w:val="FunctionTok"/>
        </w:rPr>
        <w:t xml:space="preserve">:</w:t>
      </w:r>
      <w:r>
        <w:rPr>
          <w:rStyle w:val="NormalTok"/>
        </w:rPr>
        <w:t xml:space="preserve"> </w:t>
      </w:r>
      <w:r>
        <w:rPr>
          <w:rStyle w:val="StringTok"/>
        </w:rPr>
        <w:t xml:space="preserve">"alice"</w:t>
      </w:r>
      <w:r>
        <w:rPr>
          <w:rStyle w:val="FunctionTok"/>
        </w:rPr>
        <w:t xml:space="preserve">,</w:t>
      </w:r>
      <w:r>
        <w:rPr>
          <w:rStyle w:val="NormalTok"/>
        </w:rPr>
        <w:t xml:space="preserve"> </w:t>
      </w:r>
      <w:r>
        <w:rPr>
          <w:rStyle w:val="DataTypeTok"/>
        </w:rPr>
        <w:t xml:space="preserve">"prior_claims_12mo"</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"fraud_risk_score"</w:t>
      </w:r>
      <w:r>
        <w:rPr>
          <w:rStyle w:val="FunctionTok"/>
        </w:rPr>
        <w:t xml:space="preserve">:</w:t>
      </w:r>
      <w:r>
        <w:rPr>
          <w:rStyle w:val="NormalTok"/>
        </w:rPr>
        <w:t xml:space="preserve"> </w:t>
      </w:r>
      <w:r>
        <w:rPr>
          <w:rStyle w:val="FloatTok"/>
        </w:rPr>
        <w:t xml:space="preserve">0.05</w:t>
      </w:r>
      <w:r>
        <w:rPr>
          <w:rStyle w:val="FunctionTok"/>
        </w:rPr>
        <w:t xml:space="preserve">,</w:t>
      </w:r>
      <w:r>
        <w:rPr>
          <w:rStyle w:val="NormalTok"/>
        </w:rPr>
        <w:t xml:space="preserve"> </w:t>
      </w:r>
      <w:r>
        <w:rPr>
          <w:rStyle w:val="DataTypeTok"/>
        </w:rPr>
        <w:t xml:space="preserve">"claim_status"</w:t>
      </w:r>
      <w:r>
        <w:rPr>
          <w:rStyle w:val="FunctionTok"/>
        </w:rPr>
        <w:t xml:space="preserve">:</w:t>
      </w:r>
      <w:r>
        <w:rPr>
          <w:rStyle w:val="NormalTok"/>
        </w:rPr>
        <w:t xml:space="preserve"> </w:t>
      </w:r>
      <w:r>
        <w:rPr>
          <w:rStyle w:val="StringTok"/>
        </w:rPr>
        <w:t xml:space="preserve">"Approved"</w:t>
      </w:r>
      <w:r>
        <w:rPr>
          <w:rStyle w:val="FunctionTok"/>
        </w:rPr>
        <w:t xml:space="preserve">,</w:t>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"2024-02-14T08:00:00Z"</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t xml:space="preserve">Example (denied, Alice reading Carol’s claim):</w:t>
      </w:r>
    </w:p>
    <w:p>
      <w:pPr>
        <w:pStyle w:val="SourceCode"/>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"FORBIDDEN"</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"Claim CLM-2024-1873 is not available to you."</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"6f1c0e8a-2b1d-4c47-9d0e-1f3a5b7c9d21"</w:t>
      </w:r>
      <w:r>
        <w:rPr>
          <w:rStyle w:val="FunctionTok"/>
        </w:rPr>
        <w:t xml:space="preserve">,</w:t>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t xml:space="preserve">Audit line for the denial:</w:t>
      </w:r>
      <w:r>
        <w:t xml:space="preserve"> </w:t>
      </w:r>
      <w:r>
        <w:rPr>
          <w:rStyle w:val="VerbatimChar"/>
        </w:rPr>
        <w:t xml:space="preserve">{"user_id":"alice","user_group":"adjuster","tool":"cms.get_claim","resource_id":"CLM-2024-1873","result":"denied","reason":"assigned to carol, not alice", ...}</w:t>
      </w:r>
    </w:p>
    <w:bookmarkEnd w:id="54"/>
    <w:bookmarkStart w:id="55" w:name="docs.list_documents-document-store"/>
    <w:p>
      <w:pPr>
        <w:pStyle w:val="Heading3"/>
      </w:pPr>
      <w:r>
        <w:t xml:space="preserve">3.3</w:t>
      </w:r>
      <w:r>
        <w:t xml:space="preserve"> </w:t>
      </w:r>
      <w:r>
        <w:rPr>
          <w:rStyle w:val="VerbatimChar"/>
        </w:rPr>
        <w:t xml:space="preserve">docs.list_documents</w:t>
      </w:r>
      <w:r>
        <w:t xml:space="preserve"> </w:t>
      </w:r>
      <w:r>
        <w:t xml:space="preserve">— Document store</w:t>
      </w:r>
    </w:p>
    <w:tbl>
      <w:tblPr>
        <w:tblStyle w:val="Table"/>
        <w:tblW w:type="dxa" w:w="10080"/>
        <w:tblLayout w:type="fixed"/>
        <w:tblLook w:firstRow="0" w:lastRow="0" w:firstColumn="0" w:lastColumn="0" w:noHBand="0" w:noVBand="0" w:val="0000"/>
      </w:tblPr>
      <w:tblGrid>
        <w:gridCol w:w="2219"/>
        <w:gridCol w:w="7861"/>
      </w:tblGrid>
      <w:tr>
        <w:tc>
          <w:tcPr>
            <w:tcW w:w="2219" w:type="dxa"/>
          </w:tcPr>
          <w:p>
            <w:pPr>
              <w:pStyle w:val="Compact"/>
            </w:pPr>
            <w:r>
              <w:t xml:space="preserve">Purpose</w:t>
            </w:r>
          </w:p>
        </w:tc>
        <w:tc>
          <w:tcPr>
            <w:tcW w:w="7861" w:type="dxa"/>
          </w:tcPr>
          <w:p>
            <w:pPr>
              <w:pStyle w:val="Compact"/>
            </w:pPr>
            <w:r>
              <w:t xml:space="preserve">Document inventory: drives the completeness check (CLS-DOC-009) and the injury inconsistency check (CLS-INJ-008)</w:t>
            </w:r>
          </w:p>
        </w:tc>
      </w:tr>
      <w:tr>
        <w:tc>
          <w:tcPr>
            <w:tcW w:w="2219" w:type="dxa"/>
          </w:tcPr>
          <w:p>
            <w:pPr>
              <w:pStyle w:val="Compact"/>
            </w:pPr>
            <w:r>
              <w:t xml:space="preserve">Input</w:t>
            </w:r>
          </w:p>
        </w:tc>
        <w:tc>
          <w:tcPr>
            <w:tcW w:w="7861" w:type="dxa"/>
          </w:tcPr>
          <w:p>
            <w:pPr>
              <w:pStyle w:val="Compact"/>
            </w:pPr>
            <w:r>
              <w:rPr>
                <w:rStyle w:val="VerbatimChar"/>
              </w:rPr>
              <w:t xml:space="preserve">claim_id</w:t>
            </w:r>
          </w:p>
        </w:tc>
      </w:tr>
      <w:tr>
        <w:tc>
          <w:tcPr>
            <w:tcW w:w="2219" w:type="dxa"/>
          </w:tcPr>
          <w:p>
            <w:pPr>
              <w:pStyle w:val="Compact"/>
            </w:pPr>
            <w:r>
              <w:t xml:space="preserve">Output</w:t>
            </w:r>
          </w:p>
        </w:tc>
        <w:tc>
          <w:tcPr>
            <w:tcW w:w="7861" w:type="dxa"/>
          </w:tcPr>
          <w:p>
            <w:pPr>
              <w:pStyle w:val="Compact"/>
            </w:pPr>
            <w:r>
              <w:rPr>
                <w:rStyle w:val="VerbatimChar"/>
              </w:rPr>
              <w:t xml:space="preserve">claim_id</w:t>
            </w:r>
            <w:r>
              <w:t xml:space="preserve">,</w:t>
            </w:r>
            <w:r>
              <w:t xml:space="preserve"> </w:t>
            </w:r>
            <w:r>
              <w:rPr>
                <w:rStyle w:val="VerbatimChar"/>
              </w:rPr>
              <w:t xml:space="preserve">documents: Document[]</w:t>
            </w:r>
            <w:r>
              <w:t xml:space="preserve"> </w:t>
            </w:r>
            <w:r>
              <w:t xml:space="preserve">(with</w:t>
            </w:r>
            <w:r>
              <w:t xml:space="preserve"> </w:t>
            </w:r>
            <w:r>
              <w:rPr>
                <w:rStyle w:val="VerbatimChar"/>
              </w:rPr>
              <w:t xml:space="preserve">ocr_status</w:t>
            </w:r>
            <w:r>
              <w:t xml:space="preserve">),</w:t>
            </w:r>
            <w:r>
              <w:t xml:space="preserve"> </w:t>
            </w:r>
            <w:r>
              <w:rPr>
                <w:rStyle w:val="VerbatimChar"/>
              </w:rPr>
              <w:t xml:space="preserve">count</w:t>
            </w:r>
          </w:p>
        </w:tc>
      </w:tr>
      <w:tr>
        <w:tc>
          <w:tcPr>
            <w:tcW w:w="2219" w:type="dxa"/>
          </w:tcPr>
          <w:p>
            <w:pPr>
              <w:pStyle w:val="Compact"/>
            </w:pPr>
            <w:r>
              <w:t xml:space="preserve">Authorisation</w:t>
            </w:r>
          </w:p>
        </w:tc>
        <w:tc>
          <w:tcPr>
            <w:tcW w:w="7861" w:type="dxa"/>
          </w:tcPr>
          <w:p>
            <w:pPr>
              <w:pStyle w:val="Compact"/>
            </w:pPr>
            <w:r>
              <w:rPr>
                <w:rStyle w:val="VerbatimChar"/>
              </w:rPr>
              <w:t xml:space="preserve">can_read_claim</w:t>
            </w:r>
            <w:r>
              <w:t xml:space="preserve"> </w:t>
            </w:r>
            <w:r>
              <w:t xml:space="preserve">on the parent claim</w:t>
            </w:r>
          </w:p>
        </w:tc>
      </w:tr>
      <w:tr>
        <w:tc>
          <w:tcPr>
            <w:tcW w:w="2219" w:type="dxa"/>
          </w:tcPr>
          <w:p>
            <w:pPr>
              <w:pStyle w:val="Compact"/>
            </w:pPr>
            <w:r>
              <w:t xml:space="preserve">HTTP route</w:t>
            </w:r>
          </w:p>
        </w:tc>
        <w:tc>
          <w:tcPr>
            <w:tcW w:w="7861" w:type="dxa"/>
          </w:tcPr>
          <w:p>
            <w:pPr>
              <w:pStyle w:val="Compact"/>
            </w:pPr>
            <w:r>
              <w:rPr>
                <w:rStyle w:val="VerbatimChar"/>
              </w:rPr>
              <w:t xml:space="preserve">GET /documents?claim_id=</w:t>
            </w:r>
          </w:p>
        </w:tc>
      </w:tr>
    </w:tbl>
    <w:bookmarkEnd w:id="55"/>
    <w:bookmarkStart w:id="56" w:name="docs.get_document-document-store"/>
    <w:p>
      <w:pPr>
        <w:pStyle w:val="Heading3"/>
      </w:pPr>
      <w:r>
        <w:t xml:space="preserve">3.4</w:t>
      </w:r>
      <w:r>
        <w:t xml:space="preserve"> </w:t>
      </w:r>
      <w:r>
        <w:rPr>
          <w:rStyle w:val="VerbatimChar"/>
        </w:rPr>
        <w:t xml:space="preserve">docs.get_document</w:t>
      </w:r>
      <w:r>
        <w:t xml:space="preserve"> </w:t>
      </w:r>
      <w:r>
        <w:t xml:space="preserve">— Document store</w:t>
      </w:r>
    </w:p>
    <w:tbl>
      <w:tblPr>
        <w:tblStyle w:val="Table"/>
        <w:tblW w:type="dxa" w:w="10080"/>
        <w:tblLayout w:type="fixed"/>
        <w:tblLook w:firstRow="0" w:lastRow="0" w:firstColumn="0" w:lastColumn="0" w:noHBand="0" w:noVBand="0" w:val="0000"/>
      </w:tblPr>
      <w:tblGrid>
        <w:gridCol w:w="1914"/>
        <w:gridCol w:w="8166"/>
      </w:tblGrid>
      <w:tr>
        <w:tc>
          <w:tcPr>
            <w:tcW w:w="1914" w:type="dxa"/>
          </w:tcPr>
          <w:p>
            <w:pPr>
              <w:pStyle w:val="Compact"/>
            </w:pPr>
            <w:r>
              <w:t xml:space="preserve">Purpose</w:t>
            </w:r>
          </w:p>
        </w:tc>
        <w:tc>
          <w:tcPr>
            <w:tcW w:w="8166" w:type="dxa"/>
          </w:tcPr>
          <w:p>
            <w:pPr>
              <w:pStyle w:val="Compact"/>
            </w:pPr>
            <w:r>
              <w:t xml:space="preserve">One document with its OCR text, so Document Intake can read it</w:t>
            </w:r>
          </w:p>
        </w:tc>
      </w:tr>
      <w:tr>
        <w:tc>
          <w:tcPr>
            <w:tcW w:w="1914" w:type="dxa"/>
          </w:tcPr>
          <w:p>
            <w:pPr>
              <w:pStyle w:val="Compact"/>
            </w:pPr>
            <w:r>
              <w:t xml:space="preserve">Input</w:t>
            </w:r>
          </w:p>
        </w:tc>
        <w:tc>
          <w:tcPr>
            <w:tcW w:w="8166" w:type="dxa"/>
          </w:tcPr>
          <w:p>
            <w:pPr>
              <w:pStyle w:val="Compact"/>
            </w:pPr>
            <w:r>
              <w:rPr>
                <w:rStyle w:val="VerbatimChar"/>
              </w:rPr>
              <w:t xml:space="preserve">document_id</w:t>
            </w:r>
            <w:r>
              <w:t xml:space="preserve"> </w:t>
            </w:r>
            <w:r>
              <w:t xml:space="preserve">(pattern</w:t>
            </w:r>
            <w:r>
              <w:t xml:space="preserve"> </w:t>
            </w:r>
            <w:r>
              <w:rPr>
                <w:rStyle w:val="VerbatimChar"/>
              </w:rPr>
              <w:t xml:space="preserve">DOC-ddddd</w:t>
            </w:r>
            <w:r>
              <w:t xml:space="preserve">)</w:t>
            </w:r>
          </w:p>
        </w:tc>
      </w:tr>
      <w:tr>
        <w:tc>
          <w:tcPr>
            <w:tcW w:w="1914" w:type="dxa"/>
          </w:tcPr>
          <w:p>
            <w:pPr>
              <w:pStyle w:val="Compact"/>
            </w:pPr>
            <w:r>
              <w:t xml:space="preserve">Output</w:t>
            </w:r>
          </w:p>
        </w:tc>
        <w:tc>
          <w:tcPr>
            <w:tcW w:w="8166" w:type="dxa"/>
          </w:tcPr>
          <w:p>
            <w:pPr>
              <w:pStyle w:val="Compact"/>
            </w:pPr>
            <w:r>
              <w:rPr>
                <w:rStyle w:val="VerbatimChar"/>
              </w:rPr>
              <w:t xml:space="preserve">document: Document + ocr_text</w:t>
            </w:r>
            <w:r>
              <w:t xml:space="preserve">.</w:t>
            </w:r>
            <w:r>
              <w:t xml:space="preserve"> </w:t>
            </w:r>
            <w:r>
              <w:rPr>
                <w:rStyle w:val="VerbatimChar"/>
              </w:rPr>
              <w:t xml:space="preserve">ocr_text</w:t>
            </w:r>
            <w:r>
              <w:t xml:space="preserve"> </w:t>
            </w:r>
            <w:r>
              <w:t xml:space="preserve">is</w:t>
            </w:r>
            <w:r>
              <w:t xml:space="preserve"> </w:t>
            </w:r>
            <w:r>
              <w:rPr>
                <w:rStyle w:val="VerbatimChar"/>
              </w:rPr>
              <w:t xml:space="preserve">null</w:t>
            </w:r>
            <w:r>
              <w:t xml:space="preserve"> </w:t>
            </w:r>
            <w:r>
              <w:t xml:space="preserve">unless</w:t>
            </w:r>
            <w:r>
              <w:t xml:space="preserve"> </w:t>
            </w:r>
            <w:r>
              <w:rPr>
                <w:rStyle w:val="VerbatimChar"/>
              </w:rPr>
              <w:t xml:space="preserve">ocr_status</w:t>
            </w:r>
            <w:r>
              <w:t xml:space="preserve"> </w:t>
            </w:r>
            <w:r>
              <w:t xml:space="preserve">is</w:t>
            </w:r>
            <w:r>
              <w:t xml:space="preserve"> </w:t>
            </w:r>
            <w:r>
              <w:rPr>
                <w:rStyle w:val="VerbatimChar"/>
              </w:rPr>
              <w:t xml:space="preserve">Completed</w:t>
            </w:r>
            <w:r>
              <w:t xml:space="preserve">. A pending estimate returns no text, and the agent must say so instead of guessing (CLS-DOC-009)</w:t>
            </w:r>
          </w:p>
        </w:tc>
      </w:tr>
      <w:tr>
        <w:tc>
          <w:tcPr>
            <w:tcW w:w="1914" w:type="dxa"/>
          </w:tcPr>
          <w:p>
            <w:pPr>
              <w:pStyle w:val="Compact"/>
            </w:pPr>
            <w:r>
              <w:t xml:space="preserve">Authorisation</w:t>
            </w:r>
          </w:p>
        </w:tc>
        <w:tc>
          <w:tcPr>
            <w:tcW w:w="8166" w:type="dxa"/>
          </w:tcPr>
          <w:p>
            <w:pPr>
              <w:pStyle w:val="Compact"/>
            </w:pPr>
            <w:r>
              <w:rPr>
                <w:rStyle w:val="VerbatimChar"/>
              </w:rPr>
              <w:t xml:space="preserve">can_read_claim</w:t>
            </w:r>
            <w:r>
              <w:t xml:space="preserve"> </w:t>
            </w:r>
            <w:r>
              <w:t xml:space="preserve">on the document’s parent claim</w:t>
            </w:r>
          </w:p>
        </w:tc>
      </w:tr>
      <w:tr>
        <w:tc>
          <w:tcPr>
            <w:tcW w:w="1914" w:type="dxa"/>
          </w:tcPr>
          <w:p>
            <w:pPr>
              <w:pStyle w:val="Compact"/>
            </w:pPr>
            <w:r>
              <w:t xml:space="preserve">HTTP route</w:t>
            </w:r>
          </w:p>
        </w:tc>
        <w:tc>
          <w:tcPr>
            <w:tcW w:w="8166" w:type="dxa"/>
          </w:tcPr>
          <w:p>
            <w:pPr>
              <w:pStyle w:val="Compact"/>
            </w:pPr>
            <w:r>
              <w:rPr>
                <w:rStyle w:val="VerbatimChar"/>
              </w:rPr>
              <w:t xml:space="preserve">GET /documents/{document_id}</w:t>
            </w:r>
          </w:p>
        </w:tc>
      </w:tr>
    </w:tbl>
    <w:bookmarkEnd w:id="56"/>
    <w:bookmarkStart w:id="57" w:name="policy.get_policy-policy-admin"/>
    <w:p>
      <w:pPr>
        <w:pStyle w:val="Heading3"/>
      </w:pPr>
      <w:r>
        <w:t xml:space="preserve">3.5</w:t>
      </w:r>
      <w:r>
        <w:t xml:space="preserve"> </w:t>
      </w:r>
      <w:r>
        <w:rPr>
          <w:rStyle w:val="VerbatimChar"/>
        </w:rPr>
        <w:t xml:space="preserve">policy.get_policy</w:t>
      </w:r>
      <w:r>
        <w:t xml:space="preserve"> </w:t>
      </w:r>
      <w:r>
        <w:t xml:space="preserve">— Policy admin</w:t>
      </w:r>
    </w:p>
    <w:tbl>
      <w:tblPr>
        <w:tblStyle w:val="Table"/>
        <w:tblW w:type="dxa" w:w="10080"/>
        <w:tblLayout w:type="fixed"/>
        <w:tblLook w:firstRow="0" w:lastRow="0" w:firstColumn="0" w:lastColumn="0" w:noHBand="0" w:noVBand="0" w:val="0000"/>
      </w:tblPr>
      <w:tblGrid>
        <w:gridCol w:w="1884"/>
        <w:gridCol w:w="8196"/>
      </w:tblGrid>
      <w:tr>
        <w:tc>
          <w:tcPr>
            <w:tcW w:w="1884" w:type="dxa"/>
          </w:tcPr>
          <w:p>
            <w:pPr>
              <w:pStyle w:val="Compact"/>
            </w:pPr>
            <w:r>
              <w:t xml:space="preserve">Purpose</w:t>
            </w:r>
          </w:p>
        </w:tc>
        <w:tc>
          <w:tcPr>
            <w:tcW w:w="8196" w:type="dxa"/>
          </w:tcPr>
          <w:p>
            <w:pPr>
              <w:pStyle w:val="Compact"/>
            </w:pPr>
            <w:r>
              <w:t xml:space="preserve">Declarations for the claim’s policy: coverage type, deductibles, period</w:t>
            </w:r>
          </w:p>
        </w:tc>
      </w:tr>
      <w:tr>
        <w:tc>
          <w:tcPr>
            <w:tcW w:w="1884" w:type="dxa"/>
          </w:tcPr>
          <w:p>
            <w:pPr>
              <w:pStyle w:val="Compact"/>
            </w:pPr>
            <w:r>
              <w:t xml:space="preserve">Input</w:t>
            </w:r>
          </w:p>
        </w:tc>
        <w:tc>
          <w:tcPr>
            <w:tcW w:w="8196" w:type="dxa"/>
          </w:tcPr>
          <w:p>
            <w:pPr>
              <w:pStyle w:val="Compact"/>
            </w:pPr>
            <w:r>
              <w:rPr>
                <w:rStyle w:val="VerbatimChar"/>
                <w:b/>
                <w:bCs/>
              </w:rPr>
              <w:t xml:space="preserve">claim_id</w:t>
            </w:r>
            <w:r>
              <w:t xml:space="preserve">, not</w:t>
            </w:r>
            <w:r>
              <w:t xml:space="preserve"> </w:t>
            </w:r>
            <w:r>
              <w:rPr>
                <w:rStyle w:val="VerbatimChar"/>
              </w:rPr>
              <w:t xml:space="preserve">policy_id</w:t>
            </w:r>
          </w:p>
        </w:tc>
      </w:tr>
      <w:tr>
        <w:tc>
          <w:tcPr>
            <w:tcW w:w="1884" w:type="dxa"/>
          </w:tcPr>
          <w:p>
            <w:pPr>
              <w:pStyle w:val="Compact"/>
            </w:pPr>
            <w:r>
              <w:t xml:space="preserve">Output</w:t>
            </w:r>
          </w:p>
        </w:tc>
        <w:tc>
          <w:tcPr>
            <w:tcW w:w="8196" w:type="dxa"/>
          </w:tcPr>
          <w:p>
            <w:pPr>
              <w:pStyle w:val="Compact"/>
            </w:pPr>
            <w:r>
              <w:rPr>
                <w:rStyle w:val="VerbatimChar"/>
              </w:rPr>
              <w:t xml:space="preserve">policy: Policy</w:t>
            </w:r>
            <w:r>
              <w:t xml:space="preserve">. No</w:t>
            </w:r>
            <w:r>
              <w:t xml:space="preserve"> </w:t>
            </w:r>
            <w:r>
              <w:rPr>
                <w:rStyle w:val="VerbatimChar"/>
              </w:rPr>
              <w:t xml:space="preserve">holder_first</w:t>
            </w:r>
            <w:r>
              <w:t xml:space="preserve">/</w:t>
            </w:r>
            <w:r>
              <w:rPr>
                <w:rStyle w:val="VerbatimChar"/>
              </w:rPr>
              <w:t xml:space="preserve">holder_last</w:t>
            </w:r>
            <w:r>
              <w:t xml:space="preserve"> </w:t>
            </w:r>
            <w:r>
              <w:t xml:space="preserve">(DEC-013)</w:t>
            </w:r>
          </w:p>
        </w:tc>
      </w:tr>
      <w:tr>
        <w:tc>
          <w:tcPr>
            <w:tcW w:w="1884" w:type="dxa"/>
          </w:tcPr>
          <w:p>
            <w:pPr>
              <w:pStyle w:val="Compact"/>
            </w:pPr>
            <w:r>
              <w:t xml:space="preserve">Authorisation</w:t>
            </w:r>
          </w:p>
        </w:tc>
        <w:tc>
          <w:tcPr>
            <w:tcW w:w="8196" w:type="dxa"/>
          </w:tcPr>
          <w:p>
            <w:pPr>
              <w:pStyle w:val="Compact"/>
            </w:pPr>
            <w:r>
              <w:t xml:space="preserve">Resolve the claim, run</w:t>
            </w:r>
            <w:r>
              <w:t xml:space="preserve"> </w:t>
            </w:r>
            <w:r>
              <w:rPr>
                <w:rStyle w:val="VerbatimChar"/>
              </w:rPr>
              <w:t xml:space="preserve">can_read_claim</w:t>
            </w:r>
            <w:r>
              <w:t xml:space="preserve">, then return the policy that claim references. A caller can only read a policy through a claim they may read, so browsing policy ids gets them nothing</w:t>
            </w:r>
          </w:p>
        </w:tc>
      </w:tr>
      <w:tr>
        <w:tc>
          <w:tcPr>
            <w:tcW w:w="1884" w:type="dxa"/>
          </w:tcPr>
          <w:p>
            <w:pPr>
              <w:pStyle w:val="Compact"/>
            </w:pPr>
            <w:r>
              <w:t xml:space="preserve">HTTP route</w:t>
            </w:r>
          </w:p>
        </w:tc>
        <w:tc>
          <w:tcPr>
            <w:tcW w:w="8196" w:type="dxa"/>
          </w:tcPr>
          <w:p>
            <w:pPr>
              <w:pStyle w:val="Compact"/>
            </w:pPr>
            <w:r>
              <w:rPr>
                <w:rStyle w:val="VerbatimChar"/>
              </w:rPr>
              <w:t xml:space="preserve">GET /claims/{claim_id}/policy</w:t>
            </w:r>
            <w:r>
              <w:t xml:space="preserve"> </w:t>
            </w:r>
            <w:r>
              <w:t xml:space="preserve">(replaces a bare</w:t>
            </w:r>
            <w:r>
              <w:t xml:space="preserve"> </w:t>
            </w:r>
            <w:r>
              <w:rPr>
                <w:rStyle w:val="VerbatimChar"/>
              </w:rPr>
              <w:t xml:space="preserve">GET /policies/{id}</w:t>
            </w:r>
            <w:r>
              <w:t xml:space="preserve">)</w:t>
            </w:r>
          </w:p>
        </w:tc>
      </w:tr>
    </w:tbl>
    <w:p>
      <w:pPr>
        <w:pStyle w:val="BodyText"/>
      </w:pPr>
      <w:r>
        <w:t xml:space="preserve">The reason for this design: a bare</w:t>
      </w:r>
      <w:r>
        <w:t xml:space="preserve"> </w:t>
      </w:r>
      <w:r>
        <w:rPr>
          <w:rStyle w:val="VerbatimChar"/>
        </w:rPr>
        <w:t xml:space="preserve">get_policy(policy_id)</w:t>
      </w:r>
      <w:r>
        <w:t xml:space="preserve"> </w:t>
      </w:r>
      <w:r>
        <w:t xml:space="preserve">is the obvious one to write, but it lets any authenticated user list every policy holder’s declarations. Anchoring the lookup on the claim reuses the same single authorisation rule.</w:t>
      </w:r>
    </w:p>
    <w:bookmarkEnd w:id="57"/>
    <w:bookmarkStart w:id="58" w:name="X12379e6ab74e6337bd2892124d706d4d08c5868"/>
    <w:p>
      <w:pPr>
        <w:pStyle w:val="Heading3"/>
      </w:pPr>
      <w:r>
        <w:t xml:space="preserve">3.6</w:t>
      </w:r>
      <w:r>
        <w:t xml:space="preserve"> </w:t>
      </w:r>
      <w:r>
        <w:rPr>
          <w:rStyle w:val="VerbatimChar"/>
        </w:rPr>
        <w:t xml:space="preserve">policy.search_clauses</w:t>
      </w:r>
      <w:r>
        <w:t xml:space="preserve"> </w:t>
      </w:r>
      <w:r>
        <w:t xml:space="preserve">— Coverage knowledge base</w:t>
      </w:r>
    </w:p>
    <w:tbl>
      <w:tblPr>
        <w:tblStyle w:val="Table"/>
        <w:tblW w:type="dxa" w:w="10080"/>
        <w:tblLayout w:type="fixed"/>
        <w:tblLook w:firstRow="0" w:lastRow="0" w:firstColumn="0" w:lastColumn="0" w:noHBand="0" w:noVBand="0" w:val="0000"/>
      </w:tblPr>
      <w:tblGrid>
        <w:gridCol w:w="2246"/>
        <w:gridCol w:w="7834"/>
      </w:tblGrid>
      <w:tr>
        <w:tc>
          <w:tcPr>
            <w:tcW w:w="2246" w:type="dxa"/>
          </w:tcPr>
          <w:p>
            <w:pPr>
              <w:pStyle w:val="Compact"/>
            </w:pPr>
            <w:r>
              <w:t xml:space="preserve">Purpose</w:t>
            </w:r>
          </w:p>
        </w:tc>
        <w:tc>
          <w:tcPr>
            <w:tcW w:w="7834" w:type="dxa"/>
          </w:tcPr>
          <w:p>
            <w:pPr>
              <w:pStyle w:val="Compact"/>
            </w:pPr>
            <w:r>
              <w:t xml:space="preserve">Closed-book retrieval over the policy manual for Coverage Check (DEC-004)</w:t>
            </w:r>
          </w:p>
        </w:tc>
      </w:tr>
      <w:tr>
        <w:tc>
          <w:tcPr>
            <w:tcW w:w="2246" w:type="dxa"/>
          </w:tcPr>
          <w:p>
            <w:pPr>
              <w:pStyle w:val="Compact"/>
            </w:pPr>
            <w:r>
              <w:t xml:space="preserve">Input</w:t>
            </w:r>
          </w:p>
        </w:tc>
        <w:tc>
          <w:tcPr>
            <w:tcW w:w="7834" w:type="dxa"/>
          </w:tcPr>
          <w:p>
            <w:pPr>
              <w:pStyle w:val="Compact"/>
            </w:pPr>
            <w:r>
              <w:rPr>
                <w:rStyle w:val="VerbatimChar"/>
              </w:rPr>
              <w:t xml:space="preserve">query</w:t>
            </w:r>
            <w:r>
              <w:t xml:space="preserve"> </w:t>
            </w:r>
            <w:r>
              <w:t xml:space="preserve">(3–500 chars) ·</w:t>
            </w:r>
            <w:r>
              <w:t xml:space="preserve"> </w:t>
            </w:r>
            <w:r>
              <w:rPr>
                <w:rStyle w:val="VerbatimChar"/>
              </w:rPr>
              <w:t xml:space="preserve">top_k</w:t>
            </w:r>
            <w:r>
              <w:t xml:space="preserve"> </w:t>
            </w:r>
            <w:r>
              <w:t xml:space="preserve">1–8, default 4</w:t>
            </w:r>
          </w:p>
        </w:tc>
      </w:tr>
      <w:tr>
        <w:tc>
          <w:tcPr>
            <w:tcW w:w="2246" w:type="dxa"/>
          </w:tcPr>
          <w:p>
            <w:pPr>
              <w:pStyle w:val="Compact"/>
            </w:pPr>
            <w:r>
              <w:t xml:space="preserve">Output</w:t>
            </w:r>
          </w:p>
        </w:tc>
        <w:tc>
          <w:tcPr>
            <w:tcW w:w="7834" w:type="dxa"/>
          </w:tcPr>
          <w:p>
            <w:pPr>
              <w:pStyle w:val="Compact"/>
            </w:pPr>
            <w:r>
              <w:rPr>
                <w:rStyle w:val="VerbatimChar"/>
              </w:rPr>
              <w:t xml:space="preserve">clauses: Clause[]</w:t>
            </w:r>
            <w:r>
              <w:t xml:space="preserve"> </w:t>
            </w:r>
            <w:r>
              <w:t xml:space="preserve">(</w:t>
            </w:r>
            <w:r>
              <w:rPr>
                <w:rStyle w:val="VerbatimChar"/>
              </w:rPr>
              <w:t xml:space="preserve">clause_id, title, text, score</w:t>
            </w:r>
            <w:r>
              <w:t xml:space="preserve">),</w:t>
            </w:r>
            <w:r>
              <w:t xml:space="preserve"> </w:t>
            </w:r>
            <w:r>
              <w:rPr>
                <w:rStyle w:val="VerbatimChar"/>
              </w:rPr>
              <w:t xml:space="preserve">corpus_version</w:t>
            </w:r>
            <w:r>
              <w:t xml:space="preserve"> </w:t>
            </w:r>
            <w:r>
              <w:t xml:space="preserve">(content hash)</w:t>
            </w:r>
          </w:p>
        </w:tc>
      </w:tr>
      <w:tr>
        <w:tc>
          <w:tcPr>
            <w:tcW w:w="2246" w:type="dxa"/>
          </w:tcPr>
          <w:p>
            <w:pPr>
              <w:pStyle w:val="Compact"/>
            </w:pPr>
            <w:r>
              <w:t xml:space="preserve">Authorisation</w:t>
            </w:r>
          </w:p>
        </w:tc>
        <w:tc>
          <w:tcPr>
            <w:tcW w:w="7834" w:type="dxa"/>
          </w:tcPr>
          <w:p>
            <w:pPr>
              <w:pStyle w:val="Compact"/>
            </w:pPr>
            <w:r>
              <w:t xml:space="preserve">Any authenticated user. The manual isn’t claim data, but calls are still audited</w:t>
            </w:r>
          </w:p>
        </w:tc>
      </w:tr>
      <w:tr>
        <w:tc>
          <w:tcPr>
            <w:tcW w:w="2246" w:type="dxa"/>
          </w:tcPr>
          <w:p>
            <w:pPr>
              <w:pStyle w:val="Compact"/>
            </w:pPr>
            <w:r>
              <w:t xml:space="preserve">Served by</w:t>
            </w:r>
          </w:p>
        </w:tc>
        <w:tc>
          <w:tcPr>
            <w:tcW w:w="7834" w:type="dxa"/>
          </w:tcPr>
          <w:p>
            <w:pPr>
              <w:pStyle w:val="Compact"/>
            </w:pPr>
            <w:r>
              <w:t xml:space="preserve">The agent runtime’s retrieval index (OpenSearch BM25, loaded from S3), not the Lambda</w:t>
            </w:r>
          </w:p>
        </w:tc>
      </w:tr>
      <w:tr>
        <w:tc>
          <w:tcPr>
            <w:tcW w:w="2246" w:type="dxa"/>
          </w:tcPr>
          <w:p>
            <w:pPr>
              <w:pStyle w:val="Compact"/>
            </w:pPr>
            <w:r>
              <w:t xml:space="preserve">Validator link</w:t>
            </w:r>
          </w:p>
        </w:tc>
        <w:tc>
          <w:tcPr>
            <w:tcW w:w="7834" w:type="dxa"/>
          </w:tcPr>
          <w:p>
            <w:pPr>
              <w:pStyle w:val="Compact"/>
            </w:pPr>
            <w:r>
              <w:t xml:space="preserve">The card’s citations must be a subset of the</w:t>
            </w:r>
            <w:r>
              <w:t xml:space="preserve"> </w:t>
            </w:r>
            <w:r>
              <w:rPr>
                <w:rStyle w:val="VerbatimChar"/>
              </w:rPr>
              <w:t xml:space="preserve">clause_id</w:t>
            </w:r>
            <w:r>
              <w:t xml:space="preserve">s returned by this tool in the same run</w:t>
            </w:r>
          </w:p>
        </w:tc>
      </w:tr>
    </w:tbl>
    <w:bookmarkEnd w:id="58"/>
    <w:bookmarkEnd w:id="59"/>
    <w:bookmarkStart w:id="60" w:name="idempotency"/>
    <w:p>
      <w:pPr>
        <w:pStyle w:val="Heading2"/>
      </w:pPr>
      <w:r>
        <w:t xml:space="preserve">4. Idempotency</w:t>
      </w:r>
    </w:p>
    <w:tbl>
      <w:tblPr>
        <w:tblStyle w:val="Table"/>
        <w:tblW w:type="dxa" w:w="10080"/>
        <w:tblLayout w:type="fixed"/>
        <w:tblLook w:firstRow="1" w:lastRow="0" w:firstColumn="0" w:lastColumn="0" w:noHBand="0" w:noVBand="0" w:val="0020"/>
      </w:tblPr>
      <w:tblGrid>
        <w:gridCol w:w="1714"/>
        <w:gridCol w:w="8366"/>
      </w:tblGrid>
      <w:tr>
        <w:trPr>
          <w:tblHeader w:val="on"/>
        </w:trPr>
        <w:tc>
          <w:tcPr>
            <w:tcW w:w="1714" w:type="dxa"/>
          </w:tcPr>
          <w:p>
            <w:pPr>
              <w:pStyle w:val="Compact"/>
            </w:pPr>
            <w:r>
              <w:t xml:space="preserve">Operation</w:t>
            </w:r>
          </w:p>
        </w:tc>
        <w:tc>
          <w:tcPr>
            <w:tcW w:w="8366" w:type="dxa"/>
          </w:tcPr>
          <w:p>
            <w:pPr>
              <w:pStyle w:val="Compact"/>
            </w:pPr>
            <w:r>
              <w:t xml:space="preserve">Rule</w:t>
            </w:r>
          </w:p>
        </w:tc>
      </w:tr>
      <w:tr>
        <w:tc>
          <w:tcPr>
            <w:tcW w:w="1714" w:type="dxa"/>
          </w:tcPr>
          <w:p>
            <w:pPr>
              <w:pStyle w:val="Compact"/>
            </w:pPr>
            <w:r>
              <w:t xml:space="preserve">All six pilot tools</w:t>
            </w:r>
          </w:p>
        </w:tc>
        <w:tc>
          <w:tcPr>
            <w:tcW w:w="8366" w:type="dxa"/>
          </w:tcPr>
          <w:p>
            <w:pPr>
              <w:pStyle w:val="Compact"/>
            </w:pPr>
            <w:r>
              <w:t xml:space="preserve">Safe and idempotent, with no side effects except the audit line. Retrying is always allowed for</w:t>
            </w:r>
            <w:r>
              <w:t xml:space="preserve"> </w:t>
            </w:r>
            <w:r>
              <w:rPr>
                <w:rStyle w:val="VerbatimChar"/>
              </w:rPr>
              <w:t xml:space="preserve">retryable: true</w:t>
            </w:r>
            <w:r>
              <w:t xml:space="preserve"> </w:t>
            </w:r>
            <w:r>
              <w:t xml:space="preserve">errors, with exponential backoff (0.5 s, 1 s) and at most 2 retries</w:t>
            </w:r>
          </w:p>
        </w:tc>
      </w:tr>
      <w:tr>
        <w:tc>
          <w:tcPr>
            <w:tcW w:w="1714" w:type="dxa"/>
          </w:tcPr>
          <w:p>
            <w:pPr>
              <w:pStyle w:val="Compact"/>
            </w:pPr>
            <w:r>
              <w:t xml:space="preserve">Audit append</w:t>
            </w:r>
          </w:p>
        </w:tc>
        <w:tc>
          <w:tcPr>
            <w:tcW w:w="8366" w:type="dxa"/>
          </w:tcPr>
          <w:p>
            <w:pPr>
              <w:pStyle w:val="Compact"/>
            </w:pPr>
            <w:r>
              <w:t xml:space="preserve">Keyed on</w:t>
            </w:r>
            <w:r>
              <w:t xml:space="preserve"> </w:t>
            </w:r>
            <w:r>
              <w:rPr>
                <w:rStyle w:val="VerbatimChar"/>
              </w:rPr>
              <w:t xml:space="preserve">request_id</w:t>
            </w:r>
            <w:r>
              <w:t xml:space="preserve">. A retried call that reaches the Lambda twice logs two lines with the same</w:t>
            </w:r>
            <w:r>
              <w:t xml:space="preserve"> </w:t>
            </w:r>
            <w:r>
              <w:rPr>
                <w:rStyle w:val="VerbatimChar"/>
              </w:rPr>
              <w:t xml:space="preserve">request_id</w:t>
            </w:r>
            <w:r>
              <w:t xml:space="preserve">, and the W4 audit query de-duplicates on it. Nothing downstream counts raw lines</w:t>
            </w:r>
          </w:p>
        </w:tc>
      </w:tr>
      <w:tr>
        <w:tc>
          <w:tcPr>
            <w:tcW w:w="1714" w:type="dxa"/>
          </w:tcPr>
          <w:p>
            <w:pPr>
              <w:pStyle w:val="Compact"/>
            </w:pPr>
            <w:r>
              <w:t xml:space="preserve">Pipeline run</w:t>
            </w:r>
          </w:p>
        </w:tc>
        <w:tc>
          <w:tcPr>
            <w:tcW w:w="8366" w:type="dxa"/>
          </w:tcPr>
          <w:p>
            <w:pPr>
              <w:pStyle w:val="Compact"/>
            </w:pPr>
            <w:r>
              <w:t xml:space="preserve">Re-running a claim is safe because nothing is written. Two runs can return different wording but must return the same code and figures. Determinism of code and figures is an eval assertion</w:t>
            </w:r>
          </w:p>
        </w:tc>
      </w:tr>
    </w:tbl>
    <w:bookmarkEnd w:id="60"/>
    <w:bookmarkStart w:id="61" w:name="X165b33c83297cfe4d4859794263e30cfceb1589"/>
    <w:p>
      <w:pPr>
        <w:pStyle w:val="Heading2"/>
      </w:pPr>
      <w:r>
        <w:t xml:space="preserve">5. Rules for any future write tool (not in the pilot)</w:t>
      </w:r>
    </w:p>
    <w:p>
      <w:pPr>
        <w:pStyle w:val="FirstParagraph"/>
      </w:pPr>
      <w:r>
        <w:t xml:space="preserve">A write tool (e.g. </w:t>
      </w:r>
      <w:r>
        <w:rPr>
          <w:rStyle w:val="VerbatimChar"/>
        </w:rPr>
        <w:t xml:space="preserve">cms.record_recommendation</w:t>
      </w:r>
      <w:r>
        <w:t xml:space="preserve">) is a change request (SoW §8) and must meet all of these:</w:t>
      </w:r>
    </w:p>
    <w:p>
      <w:pPr>
        <w:pStyle w:val="Compact"/>
        <w:numPr>
          <w:ilvl w:val="0"/>
          <w:numId w:val="1008"/>
        </w:numPr>
      </w:pPr>
      <w:r>
        <w:t xml:space="preserve">The client sends an</w:t>
      </w:r>
      <w:r>
        <w:t xml:space="preserve"> </w:t>
      </w:r>
      <w:r>
        <w:rPr>
          <w:rStyle w:val="VerbatimChar"/>
          <w:b/>
          <w:bCs/>
        </w:rPr>
        <w:t xml:space="preserve">Idempotency-Key</w:t>
      </w:r>
      <w:r>
        <w:t xml:space="preserve"> </w:t>
      </w:r>
      <w:r>
        <w:t xml:space="preserve">(UUID v4) on every write.</w:t>
      </w:r>
    </w:p>
    <w:p>
      <w:pPr>
        <w:pStyle w:val="Compact"/>
        <w:numPr>
          <w:ilvl w:val="0"/>
          <w:numId w:val="1008"/>
        </w:numPr>
      </w:pPr>
      <w:r>
        <w:t xml:space="preserve">The server stores</w:t>
      </w:r>
      <w:r>
        <w:t xml:space="preserve"> </w:t>
      </w:r>
      <w:r>
        <w:rPr>
          <w:rStyle w:val="VerbatimChar"/>
        </w:rPr>
        <w:t xml:space="preserve">(key, user_id, request_hash, response)</w:t>
      </w:r>
      <w:r>
        <w:t xml:space="preserve"> </w:t>
      </w:r>
      <w:r>
        <w:t xml:space="preserve">for 24 hours.</w:t>
      </w:r>
    </w:p>
    <w:p>
      <w:pPr>
        <w:pStyle w:val="Compact"/>
        <w:numPr>
          <w:ilvl w:val="0"/>
          <w:numId w:val="1008"/>
        </w:numPr>
      </w:pPr>
      <w:r>
        <w:t xml:space="preserve">The same key with the same payload returns the stored response and performs no second write.</w:t>
      </w:r>
    </w:p>
    <w:p>
      <w:pPr>
        <w:pStyle w:val="Compact"/>
        <w:numPr>
          <w:ilvl w:val="0"/>
          <w:numId w:val="1008"/>
        </w:numPr>
      </w:pPr>
      <w:r>
        <w:t xml:space="preserve">The same key with a different payload returns</w:t>
      </w:r>
      <w:r>
        <w:t xml:space="preserve"> </w:t>
      </w:r>
      <w:r>
        <w:rPr>
          <w:rStyle w:val="VerbatimChar"/>
        </w:rPr>
        <w:t xml:space="preserve">409 CONFLICT</w:t>
      </w:r>
      <w:r>
        <w:t xml:space="preserve">.</w:t>
      </w:r>
    </w:p>
    <w:p>
      <w:pPr>
        <w:pStyle w:val="Compact"/>
        <w:numPr>
          <w:ilvl w:val="0"/>
          <w:numId w:val="1008"/>
        </w:numPr>
      </w:pPr>
      <w:r>
        <w:t xml:space="preserve">Writes are made by the human confirming in the console, never by an agent. The agent toolset stays read-only (DEC-001).</w:t>
      </w:r>
    </w:p>
    <w:p>
      <w:pPr>
        <w:pStyle w:val="Compact"/>
        <w:numPr>
          <w:ilvl w:val="0"/>
          <w:numId w:val="1008"/>
        </w:numPr>
      </w:pPr>
      <w:r>
        <w:t xml:space="preserve">Every write has a compensating action defined before release, e.g. a reversal note.</w:t>
      </w:r>
    </w:p>
    <w:bookmarkEnd w:id="61"/>
    <w:bookmarkStart w:id="62" w:name="versioning"/>
    <w:p>
      <w:pPr>
        <w:pStyle w:val="Heading2"/>
      </w:pPr>
      <w:r>
        <w:t xml:space="preserve">6. Versioning</w:t>
      </w:r>
    </w:p>
    <w:p>
      <w:pPr>
        <w:pStyle w:val="Compact"/>
        <w:numPr>
          <w:ilvl w:val="0"/>
          <w:numId w:val="1009"/>
        </w:numPr>
      </w:pPr>
      <w:r>
        <w:t xml:space="preserve">The contract version appears in every audit record.</w:t>
      </w:r>
    </w:p>
    <w:p>
      <w:pPr>
        <w:pStyle w:val="Compact"/>
        <w:numPr>
          <w:ilvl w:val="0"/>
          <w:numId w:val="1009"/>
        </w:numPr>
      </w:pPr>
      <w:r>
        <w:t xml:space="preserve">Additive changes (a new optional field, a new tool) are a minor version, and existing callers are unaffected.</w:t>
      </w:r>
    </w:p>
    <w:p>
      <w:pPr>
        <w:pStyle w:val="Compact"/>
        <w:numPr>
          <w:ilvl w:val="0"/>
          <w:numId w:val="1009"/>
        </w:numPr>
      </w:pPr>
      <w:r>
        <w:t xml:space="preserve">Removing or renaming a field, or tightening a type, is a new major version. v1 and v2 tools run side by side for one release.</w:t>
      </w:r>
    </w:p>
    <w:p>
      <w:pPr>
        <w:pStyle w:val="Compact"/>
        <w:numPr>
          <w:ilvl w:val="0"/>
          <w:numId w:val="1009"/>
        </w:numPr>
      </w:pPr>
      <w:r>
        <w:t xml:space="preserve">The eval suite pins a contract version, so a contract change can’t silently alter results.</w:t>
      </w:r>
    </w:p>
    <w:bookmarkEnd w:id="62"/>
    <w:bookmarkEnd w:id="63"/>
    <w:bookmarkStart w:id="70" w:name="synthetic-data-shapes"/>
    <w:p>
      <w:pPr>
        <w:pStyle w:val="Heading1"/>
      </w:pPr>
      <w:r>
        <w:t xml:space="preserve">6 · Synthetic data shapes</w:t>
      </w:r>
    </w:p>
    <w:p>
      <w:pPr>
        <w:pStyle w:val="FirstParagraph"/>
      </w:pPr>
      <w:r>
        <w:t xml:space="preserve">Version 1.0 · 2026-10-08 · Fixtures:</w:t>
      </w:r>
      <w:r>
        <w:t xml:space="preserve"> </w:t>
      </w:r>
      <w:r>
        <w:rPr>
          <w:rStyle w:val="VerbatimChar"/>
        </w:rPr>
        <w:t xml:space="preserve">claimsense_claims.csv</w:t>
      </w:r>
      <w:r>
        <w:t xml:space="preserve"> </w:t>
      </w:r>
      <w:r>
        <w:t xml:space="preserve">(20),</w:t>
      </w:r>
      <w:r>
        <w:t xml:space="preserve"> </w:t>
      </w:r>
      <w:r>
        <w:rPr>
          <w:rStyle w:val="VerbatimChar"/>
        </w:rPr>
        <w:t xml:space="preserve">claimsense_policies.csv</w:t>
      </w:r>
      <w:r>
        <w:t xml:space="preserve"> </w:t>
      </w:r>
      <w:r>
        <w:t xml:space="preserve">(15),</w:t>
      </w:r>
      <w:r>
        <w:t xml:space="preserve"> </w:t>
      </w:r>
      <w:r>
        <w:rPr>
          <w:rStyle w:val="VerbatimChar"/>
        </w:rPr>
        <w:t xml:space="preserve">claimsense_documents.csv</w:t>
      </w:r>
      <w:r>
        <w:t xml:space="preserve"> </w:t>
      </w:r>
      <w:r>
        <w:t xml:space="preserve">(74),</w:t>
      </w:r>
      <w:r>
        <w:t xml:space="preserve"> </w:t>
      </w:r>
      <w:r>
        <w:rPr>
          <w:rStyle w:val="VerbatimChar"/>
        </w:rPr>
        <w:t xml:space="preserve">policy_corpus/</w:t>
      </w:r>
      <w:r>
        <w:t xml:space="preserve"> </w:t>
      </w:r>
      <w:r>
        <w:t xml:space="preserve">(12)</w:t>
      </w:r>
      <w:r>
        <w:t xml:space="preserve"> </w:t>
      </w:r>
      <w:r>
        <w:t xml:space="preserve">Checked by</w:t>
      </w:r>
      <w:r>
        <w:t xml:space="preserve"> </w:t>
      </w:r>
      <w:r>
        <w:rPr>
          <w:rStyle w:val="VerbatimChar"/>
        </w:rPr>
        <w:t xml:space="preserve">build.py</w:t>
      </w:r>
      <w:r>
        <w:t xml:space="preserve">: every fixture row is converted with the rules below and validated against</w:t>
      </w:r>
      <w:r>
        <w:t xml:space="preserve"> </w:t>
      </w:r>
      <w:r>
        <w:rPr>
          <w:rStyle w:val="VerbatimChar"/>
        </w:rPr>
        <w:t xml:space="preserve">contract/mcp_tools.schema.json</w:t>
      </w:r>
      <w:r>
        <w:t xml:space="preserve">. The results are in</w:t>
      </w:r>
      <w:r>
        <w:t xml:space="preserve"> </w:t>
      </w:r>
      <w:r>
        <w:rPr>
          <w:rStyle w:val="VerbatimChar"/>
        </w:rPr>
        <w:t xml:space="preserve">WEEK2_DATA_SHAPE_REPORT.md</w:t>
      </w:r>
      <w:r>
        <w:t xml:space="preserve">.</w:t>
      </w:r>
    </w:p>
    <w:p>
      <w:pPr>
        <w:pStyle w:val="BodyText"/>
      </w:pPr>
      <w:r>
        <w:t xml:space="preserve">Each system has two shapes. The</w:t>
      </w:r>
      <w:r>
        <w:t xml:space="preserve"> </w:t>
      </w:r>
      <w:r>
        <w:rPr>
          <w:b/>
          <w:bCs/>
        </w:rPr>
        <w:t xml:space="preserve">source shape</w:t>
      </w:r>
      <w:r>
        <w:t xml:space="preserve"> </w:t>
      </w:r>
      <w:r>
        <w:t xml:space="preserve">is what the export (and later the real API) gives us. The</w:t>
      </w:r>
      <w:r>
        <w:t xml:space="preserve"> </w:t>
      </w:r>
      <w:r>
        <w:rPr>
          <w:b/>
          <w:bCs/>
        </w:rPr>
        <w:t xml:space="preserve">contract shape</w:t>
      </w:r>
      <w:r>
        <w:t xml:space="preserve"> </w:t>
      </w:r>
      <w:r>
        <w:t xml:space="preserve">is what the tools return. The mock adapter does the conversion, and when the real API arrives only the adapter changes.</w:t>
      </w:r>
    </w:p>
    <w:bookmarkStart w:id="64" w:name="cms-claim-record"/>
    <w:p>
      <w:pPr>
        <w:pStyle w:val="Heading2"/>
      </w:pPr>
      <w:r>
        <w:t xml:space="preserve">1. CMS — claim record</w:t>
      </w:r>
    </w:p>
    <w:tbl>
      <w:tblPr>
        <w:tblStyle w:val="Table"/>
        <w:tblW w:type="dxa" w:w="10080"/>
        <w:tblLayout w:type="fixed"/>
        <w:tblLook w:firstRow="1" w:lastRow="0" w:firstColumn="0" w:lastColumn="0" w:noHBand="0" w:noVBand="0" w:val="0020"/>
      </w:tblPr>
      <w:tblGrid>
        <w:gridCol w:w="2690"/>
        <w:gridCol w:w="923"/>
        <w:gridCol w:w="1256"/>
        <w:gridCol w:w="2834"/>
        <w:gridCol w:w="2377"/>
      </w:tblGrid>
      <w:tr>
        <w:trPr>
          <w:tblHeader w:val="on"/>
        </w:trPr>
        <w:tc>
          <w:tcPr>
            <w:tcW w:w="2690" w:type="dxa"/>
          </w:tcPr>
          <w:p>
            <w:pPr>
              <w:pStyle w:val="Compact"/>
            </w:pPr>
            <w:r>
              <w:t xml:space="preserve">Field</w:t>
            </w:r>
          </w:p>
        </w:tc>
        <w:tc>
          <w:tcPr>
            <w:tcW w:w="923" w:type="dxa"/>
          </w:tcPr>
          <w:p>
            <w:pPr>
              <w:pStyle w:val="Compact"/>
            </w:pPr>
            <w:r>
              <w:t xml:space="preserve">Source</w:t>
            </w:r>
          </w:p>
        </w:tc>
        <w:tc>
          <w:tcPr>
            <w:tcW w:w="1256" w:type="dxa"/>
          </w:tcPr>
          <w:p>
            <w:pPr>
              <w:pStyle w:val="Compact"/>
            </w:pPr>
            <w:r>
              <w:t xml:space="preserve">Contract type</w:t>
            </w:r>
          </w:p>
        </w:tc>
        <w:tc>
          <w:tcPr>
            <w:tcW w:w="2834" w:type="dxa"/>
          </w:tcPr>
          <w:p>
            <w:pPr>
              <w:pStyle w:val="Compact"/>
            </w:pPr>
            <w:r>
              <w:t xml:space="preserve">Constraint / example</w:t>
            </w:r>
          </w:p>
        </w:tc>
        <w:tc>
          <w:tcPr>
            <w:tcW w:w="2377" w:type="dxa"/>
          </w:tcPr>
          <w:p>
            <w:pPr>
              <w:pStyle w:val="Compact"/>
            </w:pPr>
            <w:r>
              <w:t xml:space="preserve">Notes</w:t>
            </w:r>
          </w:p>
        </w:tc>
      </w:tr>
      <w:tr>
        <w:tc>
          <w:tcPr>
            <w:tcW w:w="2690" w:type="dxa"/>
          </w:tcPr>
          <w:p>
            <w:pPr>
              <w:pStyle w:val="Compact"/>
            </w:pPr>
            <w:r>
              <w:rPr>
                <w:rStyle w:val="VerbatimChar"/>
              </w:rPr>
              <w:t xml:space="preserve">claim_id</w:t>
            </w:r>
          </w:p>
        </w:tc>
        <w:tc>
          <w:tcPr>
            <w:tcW w:w="923" w:type="dxa"/>
          </w:tcPr>
          <w:p>
            <w:pPr>
              <w:pStyle w:val="Compact"/>
            </w:pPr>
            <w:r>
              <w:t xml:space="preserve">string</w:t>
            </w:r>
          </w:p>
        </w:tc>
        <w:tc>
          <w:tcPr>
            <w:tcW w:w="1256" w:type="dxa"/>
          </w:tcPr>
          <w:p>
            <w:pPr>
              <w:pStyle w:val="Compact"/>
            </w:pPr>
            <w:r>
              <w:t xml:space="preserve">string</w:t>
            </w:r>
          </w:p>
        </w:tc>
        <w:tc>
          <w:tcPr>
            <w:tcW w:w="2834" w:type="dxa"/>
          </w:tcPr>
          <w:p>
            <w:pPr>
              <w:pStyle w:val="Compact"/>
            </w:pPr>
            <w:r>
              <w:rPr>
                <w:rStyle w:val="VerbatimChar"/>
              </w:rPr>
              <w:t xml:space="preserve">^CLM-\d{4}-\d{4}$</w:t>
            </w:r>
            <w:r>
              <w:t xml:space="preserve"> </w:t>
            </w:r>
            <w:r>
              <w:t xml:space="preserve">· CLM-2024-1873</w:t>
            </w:r>
          </w:p>
        </w:tc>
        <w:tc>
          <w:tcPr>
            <w:tcW w:w="2377" w:type="dxa"/>
          </w:tcPr>
          <w:p>
            <w:pPr>
              <w:pStyle w:val="Compact"/>
            </w:pPr>
            <w:r>
              <w:t xml:space="preserve">Primary key</w:t>
            </w:r>
          </w:p>
        </w:tc>
      </w:tr>
      <w:tr>
        <w:tc>
          <w:tcPr>
            <w:tcW w:w="2690" w:type="dxa"/>
          </w:tcPr>
          <w:p>
            <w:pPr>
              <w:pStyle w:val="Compact"/>
            </w:pPr>
            <w:r>
              <w:rPr>
                <w:rStyle w:val="VerbatimChar"/>
              </w:rPr>
              <w:t xml:space="preserve">policy_id</w:t>
            </w:r>
          </w:p>
        </w:tc>
        <w:tc>
          <w:tcPr>
            <w:tcW w:w="923" w:type="dxa"/>
          </w:tcPr>
          <w:p>
            <w:pPr>
              <w:pStyle w:val="Compact"/>
            </w:pPr>
            <w:r>
              <w:t xml:space="preserve">string</w:t>
            </w:r>
          </w:p>
        </w:tc>
        <w:tc>
          <w:tcPr>
            <w:tcW w:w="1256" w:type="dxa"/>
          </w:tcPr>
          <w:p>
            <w:pPr>
              <w:pStyle w:val="Compact"/>
            </w:pPr>
            <w:r>
              <w:t xml:space="preserve">string</w:t>
            </w:r>
          </w:p>
        </w:tc>
        <w:tc>
          <w:tcPr>
            <w:tcW w:w="2834" w:type="dxa"/>
          </w:tcPr>
          <w:p>
            <w:pPr>
              <w:pStyle w:val="Compact"/>
            </w:pPr>
            <w:r>
              <w:rPr>
                <w:rStyle w:val="VerbatimChar"/>
              </w:rPr>
              <w:t xml:space="preserve">^POL-[A-Z]{3}-\d{5}$</w:t>
            </w:r>
          </w:p>
        </w:tc>
        <w:tc>
          <w:tcPr>
            <w:tcW w:w="2377" w:type="dxa"/>
          </w:tcPr>
          <w:p>
            <w:pPr>
              <w:pStyle w:val="Compact"/>
            </w:pPr>
            <w:r>
              <w:t xml:space="preserve">FK → policy</w:t>
            </w:r>
          </w:p>
        </w:tc>
      </w:tr>
      <w:tr>
        <w:tc>
          <w:tcPr>
            <w:tcW w:w="2690" w:type="dxa"/>
          </w:tcPr>
          <w:p>
            <w:pPr>
              <w:pStyle w:val="Compact"/>
            </w:pPr>
            <w:r>
              <w:rPr>
                <w:rStyle w:val="VerbatimChar"/>
              </w:rPr>
              <w:t xml:space="preserve">vehicle_vin</w:t>
            </w:r>
          </w:p>
        </w:tc>
        <w:tc>
          <w:tcPr>
            <w:tcW w:w="923" w:type="dxa"/>
          </w:tcPr>
          <w:p>
            <w:pPr>
              <w:pStyle w:val="Compact"/>
            </w:pPr>
            <w:r>
              <w:t xml:space="preserve">string</w:t>
            </w:r>
          </w:p>
        </w:tc>
        <w:tc>
          <w:tcPr>
            <w:tcW w:w="1256" w:type="dxa"/>
          </w:tcPr>
          <w:p>
            <w:pPr>
              <w:pStyle w:val="Compact"/>
            </w:pPr>
            <w:r>
              <w:t xml:space="preserve">string</w:t>
            </w:r>
          </w:p>
        </w:tc>
        <w:tc>
          <w:tcPr>
            <w:tcW w:w="2834" w:type="dxa"/>
          </w:tcPr>
          <w:p>
            <w:pPr>
              <w:pStyle w:val="Compact"/>
            </w:pPr>
            <w:r>
              <w:t xml:space="preserve">17 chars, no I/O/Q</w:t>
            </w:r>
          </w:p>
        </w:tc>
        <w:tc>
          <w:tcPr>
            <w:tcW w:w="2377" w:type="dxa"/>
          </w:tcPr>
          <w:p>
            <w:pPr>
              <w:pStyle w:val="Compact"/>
            </w:pPr>
            <w:r>
              <w:t xml:space="preserve">Must equal the policy VIN (invariant I-2)</w:t>
            </w:r>
          </w:p>
        </w:tc>
      </w:tr>
      <w:tr>
        <w:tc>
          <w:tcPr>
            <w:tcW w:w="2690" w:type="dxa"/>
          </w:tcPr>
          <w:p>
            <w:pPr>
              <w:pStyle w:val="Compact"/>
            </w:pPr>
            <w:r>
              <w:rPr>
                <w:rStyle w:val="VerbatimChar"/>
              </w:rPr>
              <w:t xml:space="preserve">vehicle_year</w:t>
            </w:r>
          </w:p>
        </w:tc>
        <w:tc>
          <w:tcPr>
            <w:tcW w:w="923" w:type="dxa"/>
          </w:tcPr>
          <w:p>
            <w:pPr>
              <w:pStyle w:val="Compact"/>
            </w:pPr>
            <w:r>
              <w:t xml:space="preserve">string</w:t>
            </w:r>
          </w:p>
        </w:tc>
        <w:tc>
          <w:tcPr>
            <w:tcW w:w="1256" w:type="dxa"/>
          </w:tcPr>
          <w:p>
            <w:pPr>
              <w:pStyle w:val="Compact"/>
            </w:pPr>
            <w:r>
              <w:t xml:space="preserve">integer</w:t>
            </w:r>
          </w:p>
        </w:tc>
        <w:tc>
          <w:tcPr>
            <w:tcW w:w="2834" w:type="dxa"/>
          </w:tcPr>
          <w:p>
            <w:pPr>
              <w:pStyle w:val="Compact"/>
            </w:pPr>
            <w:r>
              <w:t xml:space="preserve">1980–2030</w:t>
            </w:r>
          </w:p>
        </w:tc>
        <w:tc>
          <w:tcPr>
            <w:tcW w:w="2377" w:type="dxa"/>
          </w:tcPr>
          <w:p>
            <w:pPr>
              <w:pStyle w:val="Compact"/>
            </w:pPr>
          </w:p>
        </w:tc>
      </w:tr>
      <w:tr>
        <w:tc>
          <w:tcPr>
            <w:tcW w:w="2690" w:type="dxa"/>
          </w:tcPr>
          <w:p>
            <w:pPr>
              <w:pStyle w:val="Compact"/>
            </w:pPr>
            <w:r>
              <w:rPr>
                <w:rStyle w:val="VerbatimChar"/>
              </w:rPr>
              <w:t xml:space="preserve">vehicle_make</w:t>
            </w:r>
            <w:r>
              <w:t xml:space="preserve">,</w:t>
            </w:r>
            <w:r>
              <w:t xml:space="preserve"> </w:t>
            </w:r>
            <w:r>
              <w:rPr>
                <w:rStyle w:val="VerbatimChar"/>
              </w:rPr>
              <w:t xml:space="preserve">vehicle_model</w:t>
            </w:r>
          </w:p>
        </w:tc>
        <w:tc>
          <w:tcPr>
            <w:tcW w:w="923" w:type="dxa"/>
          </w:tcPr>
          <w:p>
            <w:pPr>
              <w:pStyle w:val="Compact"/>
            </w:pPr>
            <w:r>
              <w:t xml:space="preserve">string</w:t>
            </w:r>
          </w:p>
        </w:tc>
        <w:tc>
          <w:tcPr>
            <w:tcW w:w="1256" w:type="dxa"/>
          </w:tcPr>
          <w:p>
            <w:pPr>
              <w:pStyle w:val="Compact"/>
            </w:pPr>
            <w:r>
              <w:t xml:space="preserve">string</w:t>
            </w:r>
          </w:p>
        </w:tc>
        <w:tc>
          <w:tcPr>
            <w:tcW w:w="2834" w:type="dxa"/>
          </w:tcPr>
          <w:p>
            <w:pPr>
              <w:pStyle w:val="Compact"/>
            </w:pPr>
            <w:r>
              <w:t xml:space="preserve">non-empty</w:t>
            </w:r>
          </w:p>
        </w:tc>
        <w:tc>
          <w:tcPr>
            <w:tcW w:w="2377" w:type="dxa"/>
          </w:tcPr>
          <w:p>
            <w:pPr>
              <w:pStyle w:val="Compact"/>
            </w:pPr>
          </w:p>
        </w:tc>
      </w:tr>
      <w:tr>
        <w:tc>
          <w:tcPr>
            <w:tcW w:w="2690" w:type="dxa"/>
          </w:tcPr>
          <w:p>
            <w:pPr>
              <w:pStyle w:val="Compact"/>
            </w:pPr>
            <w:r>
              <w:rPr>
                <w:rStyle w:val="VerbatimChar"/>
              </w:rPr>
              <w:t xml:space="preserve">vehicle_acv_usd</w:t>
            </w:r>
          </w:p>
        </w:tc>
        <w:tc>
          <w:tcPr>
            <w:tcW w:w="923" w:type="dxa"/>
          </w:tcPr>
          <w:p>
            <w:pPr>
              <w:pStyle w:val="Compact"/>
            </w:pPr>
            <w:r>
              <w:t xml:space="preserve">string</w:t>
            </w:r>
          </w:p>
        </w:tc>
        <w:tc>
          <w:tcPr>
            <w:tcW w:w="1256" w:type="dxa"/>
          </w:tcPr>
          <w:p>
            <w:pPr>
              <w:pStyle w:val="Compact"/>
            </w:pPr>
            <w:r>
              <w:t xml:space="preserve">number</w:t>
            </w:r>
          </w:p>
        </w:tc>
        <w:tc>
          <w:tcPr>
            <w:tcW w:w="2834" w:type="dxa"/>
          </w:tcPr>
          <w:p>
            <w:pPr>
              <w:pStyle w:val="Compact"/>
            </w:pPr>
            <w:r>
              <w:t xml:space="preserve">&gt; 0</w:t>
            </w:r>
          </w:p>
        </w:tc>
        <w:tc>
          <w:tcPr>
            <w:tcW w:w="2377" w:type="dxa"/>
          </w:tcPr>
          <w:p>
            <w:pPr>
              <w:pStyle w:val="Compact"/>
            </w:pPr>
            <w:r>
              <w:t xml:space="preserve">Must equal the policy ACV (I-3)</w:t>
            </w:r>
          </w:p>
        </w:tc>
      </w:tr>
      <w:tr>
        <w:tc>
          <w:tcPr>
            <w:tcW w:w="2690" w:type="dxa"/>
          </w:tcPr>
          <w:p>
            <w:pPr>
              <w:pStyle w:val="Compact"/>
            </w:pPr>
            <w:r>
              <w:rPr>
                <w:rStyle w:val="VerbatimChar"/>
              </w:rPr>
              <w:t xml:space="preserve">incident_date</w:t>
            </w:r>
          </w:p>
        </w:tc>
        <w:tc>
          <w:tcPr>
            <w:tcW w:w="923" w:type="dxa"/>
          </w:tcPr>
          <w:p>
            <w:pPr>
              <w:pStyle w:val="Compact"/>
            </w:pPr>
            <w:r>
              <w:t xml:space="preserve">string</w:t>
            </w:r>
          </w:p>
        </w:tc>
        <w:tc>
          <w:tcPr>
            <w:tcW w:w="1256" w:type="dxa"/>
          </w:tcPr>
          <w:p>
            <w:pPr>
              <w:pStyle w:val="Compact"/>
            </w:pPr>
            <w:r>
              <w:t xml:space="preserve">date</w:t>
            </w:r>
          </w:p>
        </w:tc>
        <w:tc>
          <w:tcPr>
            <w:tcW w:w="2834" w:type="dxa"/>
          </w:tcPr>
          <w:p>
            <w:pPr>
              <w:pStyle w:val="Compact"/>
            </w:pPr>
            <w:r>
              <w:t xml:space="preserve">ISO</w:t>
            </w:r>
            <w:r>
              <w:t xml:space="preserve"> </w:t>
            </w:r>
            <w:r>
              <w:rPr>
                <w:rStyle w:val="VerbatimChar"/>
              </w:rPr>
              <w:t xml:space="preserve">YYYY-MM-DD</w:t>
            </w:r>
          </w:p>
        </w:tc>
        <w:tc>
          <w:tcPr>
            <w:tcW w:w="2377" w:type="dxa"/>
          </w:tcPr>
          <w:p>
            <w:pPr>
              <w:pStyle w:val="Compact"/>
            </w:pPr>
            <w:r>
              <w:t xml:space="preserve">Controls coverage, not</w:t>
            </w:r>
            <w:r>
              <w:t xml:space="preserve"> </w:t>
            </w:r>
            <w:r>
              <w:rPr>
                <w:rStyle w:val="VerbatimChar"/>
              </w:rPr>
              <w:t xml:space="preserve">policy_status</w:t>
            </w:r>
            <w:r>
              <w:t xml:space="preserve"> </w:t>
            </w:r>
            <w:r>
              <w:t xml:space="preserve">(CLS-PER-006)</w:t>
            </w:r>
          </w:p>
        </w:tc>
      </w:tr>
      <w:tr>
        <w:tc>
          <w:tcPr>
            <w:tcW w:w="2690" w:type="dxa"/>
          </w:tcPr>
          <w:p>
            <w:pPr>
              <w:pStyle w:val="Compact"/>
            </w:pPr>
            <w:r>
              <w:rPr>
                <w:rStyle w:val="VerbatimChar"/>
              </w:rPr>
              <w:t xml:space="preserve">incident_type</w:t>
            </w:r>
          </w:p>
        </w:tc>
        <w:tc>
          <w:tcPr>
            <w:tcW w:w="923" w:type="dxa"/>
          </w:tcPr>
          <w:p>
            <w:pPr>
              <w:pStyle w:val="Compact"/>
            </w:pPr>
            <w:r>
              <w:t xml:space="preserve">string</w:t>
            </w:r>
          </w:p>
        </w:tc>
        <w:tc>
          <w:tcPr>
            <w:tcW w:w="1256" w:type="dxa"/>
          </w:tcPr>
          <w:p>
            <w:pPr>
              <w:pStyle w:val="Compact"/>
            </w:pPr>
            <w:r>
              <w:t xml:space="preserve">string</w:t>
            </w:r>
          </w:p>
        </w:tc>
        <w:tc>
          <w:tcPr>
            <w:tcW w:w="2834" w:type="dxa"/>
          </w:tcPr>
          <w:p>
            <w:pPr>
              <w:pStyle w:val="Compact"/>
            </w:pPr>
            <w:r>
              <w:t xml:space="preserve">CMS picklist, 20 values in the export</w:t>
            </w:r>
          </w:p>
        </w:tc>
        <w:tc>
          <w:tcPr>
            <w:tcW w:w="2377" w:type="dxa"/>
          </w:tcPr>
          <w:p>
            <w:pPr>
              <w:pStyle w:val="Compact"/>
            </w:pPr>
            <w:r>
              <w:t xml:space="preserve">Mapped to</w:t>
            </w:r>
            <w:r>
              <w:t xml:space="preserve"> </w:t>
            </w:r>
            <w:r>
              <w:rPr>
                <w:rStyle w:val="VerbatimChar"/>
              </w:rPr>
              <w:t xml:space="preserve">loss_category</w:t>
            </w:r>
            <w:r>
              <w:t xml:space="preserve"> </w:t>
            </w:r>
            <w:r>
              <w:t xml:space="preserve">(§4)</w:t>
            </w:r>
          </w:p>
        </w:tc>
      </w:tr>
      <w:tr>
        <w:tc>
          <w:tcPr>
            <w:tcW w:w="2690" w:type="dxa"/>
          </w:tcPr>
          <w:p>
            <w:pPr>
              <w:pStyle w:val="Compact"/>
            </w:pPr>
            <w:r>
              <w:rPr>
                <w:rStyle w:val="VerbatimChar"/>
              </w:rPr>
              <w:t xml:space="preserve">incident_description</w:t>
            </w:r>
            <w:r>
              <w:t xml:space="preserve">,</w:t>
            </w:r>
            <w:r>
              <w:t xml:space="preserve"> </w:t>
            </w:r>
            <w:r>
              <w:rPr>
                <w:rStyle w:val="VerbatimChar"/>
              </w:rPr>
              <w:t xml:space="preserve">damage_description</w:t>
            </w:r>
          </w:p>
        </w:tc>
        <w:tc>
          <w:tcPr>
            <w:tcW w:w="923" w:type="dxa"/>
          </w:tcPr>
          <w:p>
            <w:pPr>
              <w:pStyle w:val="Compact"/>
            </w:pPr>
            <w:r>
              <w:t xml:space="preserve">string</w:t>
            </w:r>
          </w:p>
        </w:tc>
        <w:tc>
          <w:tcPr>
            <w:tcW w:w="1256" w:type="dxa"/>
          </w:tcPr>
          <w:p>
            <w:pPr>
              <w:pStyle w:val="Compact"/>
            </w:pPr>
            <w:r>
              <w:t xml:space="preserve">string</w:t>
            </w:r>
          </w:p>
        </w:tc>
        <w:tc>
          <w:tcPr>
            <w:tcW w:w="2834" w:type="dxa"/>
          </w:tcPr>
          <w:p>
            <w:pPr>
              <w:pStyle w:val="Compact"/>
            </w:pPr>
            <w:r>
              <w:t xml:space="preserve">free text</w:t>
            </w:r>
          </w:p>
        </w:tc>
        <w:tc>
          <w:tcPr>
            <w:tcW w:w="2377" w:type="dxa"/>
          </w:tcPr>
          <w:p>
            <w:pPr>
              <w:pStyle w:val="Compact"/>
            </w:pPr>
            <w:r>
              <w:t xml:space="preserve">Untrusted input: may carry prompt injection (W5 cases)</w:t>
            </w:r>
          </w:p>
        </w:tc>
      </w:tr>
      <w:tr>
        <w:tc>
          <w:tcPr>
            <w:tcW w:w="2690" w:type="dxa"/>
          </w:tcPr>
          <w:p>
            <w:pPr>
              <w:pStyle w:val="Compact"/>
            </w:pPr>
            <w:r>
              <w:rPr>
                <w:rStyle w:val="VerbatimChar"/>
              </w:rPr>
              <w:t xml:space="preserve">repair_estimate_usd</w:t>
            </w:r>
          </w:p>
        </w:tc>
        <w:tc>
          <w:tcPr>
            <w:tcW w:w="923" w:type="dxa"/>
          </w:tcPr>
          <w:p>
            <w:pPr>
              <w:pStyle w:val="Compact"/>
            </w:pPr>
            <w:r>
              <w:t xml:space="preserve">string</w:t>
            </w:r>
          </w:p>
        </w:tc>
        <w:tc>
          <w:tcPr>
            <w:tcW w:w="1256" w:type="dxa"/>
          </w:tcPr>
          <w:p>
            <w:pPr>
              <w:pStyle w:val="Compact"/>
            </w:pPr>
            <w:r>
              <w:t xml:space="preserve">number</w:t>
            </w:r>
          </w:p>
        </w:tc>
        <w:tc>
          <w:tcPr>
            <w:tcW w:w="2834" w:type="dxa"/>
          </w:tcPr>
          <w:p>
            <w:pPr>
              <w:pStyle w:val="Compact"/>
            </w:pPr>
            <w:r>
              <w:t xml:space="preserve">≥ 0</w:t>
            </w:r>
          </w:p>
        </w:tc>
        <w:tc>
          <w:tcPr>
            <w:tcW w:w="2377" w:type="dxa"/>
          </w:tcPr>
          <w:p>
            <w:pPr>
              <w:pStyle w:val="Compact"/>
            </w:pPr>
            <w:r>
              <w:t xml:space="preserve">The CMS figure. It can exist with no estimate document (W1 Finding 6)</w:t>
            </w:r>
          </w:p>
        </w:tc>
      </w:tr>
      <w:tr>
        <w:tc>
          <w:tcPr>
            <w:tcW w:w="2690" w:type="dxa"/>
          </w:tcPr>
          <w:p>
            <w:pPr>
              <w:pStyle w:val="Compact"/>
            </w:pPr>
            <w:r>
              <w:rPr>
                <w:rStyle w:val="VerbatimChar"/>
              </w:rPr>
              <w:t xml:space="preserve">injuries_reported</w:t>
            </w:r>
          </w:p>
        </w:tc>
        <w:tc>
          <w:tcPr>
            <w:tcW w:w="923" w:type="dxa"/>
          </w:tcPr>
          <w:p>
            <w:pPr>
              <w:pStyle w:val="Compact"/>
            </w:pPr>
            <w:r>
              <w:rPr>
                <w:rStyle w:val="VerbatimChar"/>
              </w:rPr>
              <w:t xml:space="preserve">Yes</w:t>
            </w:r>
            <w:r>
              <w:t xml:space="preserve">/</w:t>
            </w:r>
            <w:r>
              <w:rPr>
                <w:rStyle w:val="VerbatimChar"/>
              </w:rPr>
              <w:t xml:space="preserve">No</w:t>
            </w:r>
          </w:p>
        </w:tc>
        <w:tc>
          <w:tcPr>
            <w:tcW w:w="1256" w:type="dxa"/>
          </w:tcPr>
          <w:p>
            <w:pPr>
              <w:pStyle w:val="Compact"/>
            </w:pPr>
            <w:r>
              <w:t xml:space="preserve">boolean</w:t>
            </w:r>
          </w:p>
        </w:tc>
        <w:tc>
          <w:tcPr>
            <w:tcW w:w="2834" w:type="dxa"/>
          </w:tcPr>
          <w:p>
            <w:pPr>
              <w:pStyle w:val="Compact"/>
            </w:pPr>
          </w:p>
        </w:tc>
        <w:tc>
          <w:tcPr>
            <w:tcW w:w="2377" w:type="dxa"/>
          </w:tcPr>
          <w:p>
            <w:pPr>
              <w:pStyle w:val="Compact"/>
            </w:pPr>
          </w:p>
        </w:tc>
      </w:tr>
      <w:tr>
        <w:tc>
          <w:tcPr>
            <w:tcW w:w="2690" w:type="dxa"/>
          </w:tcPr>
          <w:p>
            <w:pPr>
              <w:pStyle w:val="Compact"/>
            </w:pPr>
            <w:r>
              <w:rPr>
                <w:rStyle w:val="VerbatimChar"/>
              </w:rPr>
              <w:t xml:space="preserve">police_report_filed</w:t>
            </w:r>
          </w:p>
        </w:tc>
        <w:tc>
          <w:tcPr>
            <w:tcW w:w="923" w:type="dxa"/>
          </w:tcPr>
          <w:p>
            <w:pPr>
              <w:pStyle w:val="Compact"/>
            </w:pPr>
            <w:r>
              <w:rPr>
                <w:rStyle w:val="VerbatimChar"/>
              </w:rPr>
              <w:t xml:space="preserve">Yes</w:t>
            </w:r>
            <w:r>
              <w:t xml:space="preserve">/</w:t>
            </w:r>
            <w:r>
              <w:rPr>
                <w:rStyle w:val="VerbatimChar"/>
              </w:rPr>
              <w:t xml:space="preserve">No</w:t>
            </w:r>
          </w:p>
        </w:tc>
        <w:tc>
          <w:tcPr>
            <w:tcW w:w="1256" w:type="dxa"/>
          </w:tcPr>
          <w:p>
            <w:pPr>
              <w:pStyle w:val="Compact"/>
            </w:pPr>
            <w:r>
              <w:t xml:space="preserve">boolean</w:t>
            </w:r>
          </w:p>
        </w:tc>
        <w:tc>
          <w:tcPr>
            <w:tcW w:w="2834" w:type="dxa"/>
          </w:tcPr>
          <w:p>
            <w:pPr>
              <w:pStyle w:val="Compact"/>
            </w:pPr>
          </w:p>
        </w:tc>
        <w:tc>
          <w:tcPr>
            <w:tcW w:w="2377" w:type="dxa"/>
          </w:tcPr>
          <w:p>
            <w:pPr>
              <w:pStyle w:val="Compact"/>
            </w:pPr>
          </w:p>
        </w:tc>
      </w:tr>
      <w:tr>
        <w:tc>
          <w:tcPr>
            <w:tcW w:w="2690" w:type="dxa"/>
          </w:tcPr>
          <w:p>
            <w:pPr>
              <w:pStyle w:val="Compact"/>
            </w:pPr>
            <w:r>
              <w:rPr>
                <w:rStyle w:val="VerbatimChar"/>
              </w:rPr>
              <w:t xml:space="preserve">assigned_adjuster</w:t>
            </w:r>
          </w:p>
        </w:tc>
        <w:tc>
          <w:tcPr>
            <w:tcW w:w="923" w:type="dxa"/>
          </w:tcPr>
          <w:p>
            <w:pPr>
              <w:pStyle w:val="Compact"/>
            </w:pPr>
            <w:r>
              <w:t xml:space="preserve">string</w:t>
            </w:r>
          </w:p>
        </w:tc>
        <w:tc>
          <w:tcPr>
            <w:tcW w:w="1256" w:type="dxa"/>
          </w:tcPr>
          <w:p>
            <w:pPr>
              <w:pStyle w:val="Compact"/>
            </w:pPr>
            <w:r>
              <w:t xml:space="preserve">string</w:t>
            </w:r>
          </w:p>
        </w:tc>
        <w:tc>
          <w:tcPr>
            <w:tcW w:w="2834" w:type="dxa"/>
          </w:tcPr>
          <w:p>
            <w:pPr>
              <w:pStyle w:val="Compact"/>
            </w:pPr>
            <w:r>
              <w:t xml:space="preserve">user id,</w:t>
            </w:r>
            <w:r>
              <w:t xml:space="preserve"> </w:t>
            </w:r>
            <w:r>
              <w:rPr>
                <w:rStyle w:val="VerbatimChar"/>
              </w:rPr>
              <w:t xml:space="preserve">^[a-z][a-z0-9._-]+$</w:t>
            </w:r>
          </w:p>
        </w:tc>
        <w:tc>
          <w:tcPr>
            <w:tcW w:w="2377" w:type="dxa"/>
          </w:tcPr>
          <w:p>
            <w:pPr>
              <w:pStyle w:val="Compact"/>
            </w:pPr>
            <w:r>
              <w:t xml:space="preserve">Drives RBAC.</w:t>
            </w:r>
            <w:r>
              <w:t xml:space="preserve"> </w:t>
            </w:r>
            <w:r>
              <w:rPr>
                <w:b/>
                <w:bCs/>
              </w:rPr>
              <w:t xml:space="preserve">Never sent to the model</w:t>
            </w:r>
          </w:p>
        </w:tc>
      </w:tr>
      <w:tr>
        <w:tc>
          <w:tcPr>
            <w:tcW w:w="2690" w:type="dxa"/>
          </w:tcPr>
          <w:p>
            <w:pPr>
              <w:pStyle w:val="Compact"/>
            </w:pPr>
            <w:r>
              <w:rPr>
                <w:rStyle w:val="VerbatimChar"/>
              </w:rPr>
              <w:t xml:space="preserve">prior_claims_12mo</w:t>
            </w:r>
          </w:p>
        </w:tc>
        <w:tc>
          <w:tcPr>
            <w:tcW w:w="923" w:type="dxa"/>
          </w:tcPr>
          <w:p>
            <w:pPr>
              <w:pStyle w:val="Compact"/>
            </w:pPr>
            <w:r>
              <w:t xml:space="preserve">string</w:t>
            </w:r>
          </w:p>
        </w:tc>
        <w:tc>
          <w:tcPr>
            <w:tcW w:w="1256" w:type="dxa"/>
          </w:tcPr>
          <w:p>
            <w:pPr>
              <w:pStyle w:val="Compact"/>
            </w:pPr>
            <w:r>
              <w:t xml:space="preserve">integer</w:t>
            </w:r>
          </w:p>
        </w:tc>
        <w:tc>
          <w:tcPr>
            <w:tcW w:w="2834" w:type="dxa"/>
          </w:tcPr>
          <w:p>
            <w:pPr>
              <w:pStyle w:val="Compact"/>
            </w:pPr>
            <w:r>
              <w:t xml:space="preserve">≥ 0</w:t>
            </w:r>
          </w:p>
        </w:tc>
        <w:tc>
          <w:tcPr>
            <w:tcW w:w="2377" w:type="dxa"/>
          </w:tcPr>
          <w:p>
            <w:pPr>
              <w:pStyle w:val="Compact"/>
            </w:pPr>
          </w:p>
        </w:tc>
      </w:tr>
      <w:tr>
        <w:tc>
          <w:tcPr>
            <w:tcW w:w="2690" w:type="dxa"/>
          </w:tcPr>
          <w:p>
            <w:pPr>
              <w:pStyle w:val="Compact"/>
            </w:pPr>
            <w:r>
              <w:rPr>
                <w:rStyle w:val="VerbatimChar"/>
              </w:rPr>
              <w:t xml:space="preserve">fraud_risk_score</w:t>
            </w:r>
          </w:p>
        </w:tc>
        <w:tc>
          <w:tcPr>
            <w:tcW w:w="923" w:type="dxa"/>
          </w:tcPr>
          <w:p>
            <w:pPr>
              <w:pStyle w:val="Compact"/>
            </w:pPr>
            <w:r>
              <w:t xml:space="preserve">string</w:t>
            </w:r>
          </w:p>
        </w:tc>
        <w:tc>
          <w:tcPr>
            <w:tcW w:w="1256" w:type="dxa"/>
          </w:tcPr>
          <w:p>
            <w:pPr>
              <w:pStyle w:val="Compact"/>
            </w:pPr>
            <w:r>
              <w:t xml:space="preserve">number</w:t>
            </w:r>
          </w:p>
        </w:tc>
        <w:tc>
          <w:tcPr>
            <w:tcW w:w="2834" w:type="dxa"/>
          </w:tcPr>
          <w:p>
            <w:pPr>
              <w:pStyle w:val="Compact"/>
            </w:pPr>
            <w:r>
              <w:t xml:space="preserve">0–1</w:t>
            </w:r>
          </w:p>
        </w:tc>
        <w:tc>
          <w:tcPr>
            <w:tcW w:w="2377" w:type="dxa"/>
          </w:tcPr>
          <w:p>
            <w:pPr>
              <w:pStyle w:val="Compact"/>
            </w:pPr>
            <w:r>
              <w:t xml:space="preserve">Vendor score, refreshed nightly (Q-04)</w:t>
            </w:r>
          </w:p>
        </w:tc>
      </w:tr>
      <w:tr>
        <w:tc>
          <w:tcPr>
            <w:tcW w:w="2690" w:type="dxa"/>
          </w:tcPr>
          <w:p>
            <w:pPr>
              <w:pStyle w:val="Compact"/>
            </w:pPr>
            <w:r>
              <w:rPr>
                <w:rStyle w:val="VerbatimChar"/>
              </w:rPr>
              <w:t xml:space="preserve">claim_status</w:t>
            </w:r>
          </w:p>
        </w:tc>
        <w:tc>
          <w:tcPr>
            <w:tcW w:w="923" w:type="dxa"/>
          </w:tcPr>
          <w:p>
            <w:pPr>
              <w:pStyle w:val="Compact"/>
            </w:pPr>
            <w:r>
              <w:t xml:space="preserve">string</w:t>
            </w:r>
          </w:p>
        </w:tc>
        <w:tc>
          <w:tcPr>
            <w:tcW w:w="1256" w:type="dxa"/>
          </w:tcPr>
          <w:p>
            <w:pPr>
              <w:pStyle w:val="Compact"/>
            </w:pPr>
            <w:r>
              <w:t xml:space="preserve">enum</w:t>
            </w:r>
          </w:p>
        </w:tc>
        <w:tc>
          <w:tcPr>
            <w:tcW w:w="2834" w:type="dxa"/>
          </w:tcPr>
          <w:p>
            <w:pPr>
              <w:pStyle w:val="Compact"/>
            </w:pPr>
            <w:r>
              <w:t xml:space="preserve">Approved · Pending Review · Under Investigation · Escalated</w:t>
            </w:r>
          </w:p>
        </w:tc>
        <w:tc>
          <w:tcPr>
            <w:tcW w:w="2377" w:type="dxa"/>
          </w:tcPr>
          <w:p>
            <w:pPr>
              <w:pStyle w:val="Compact"/>
            </w:pPr>
            <w:r>
              <w:t xml:space="preserve">Historical, sometimes wrong (W1 Finding 1). An input, not a label</w:t>
            </w:r>
          </w:p>
        </w:tc>
      </w:tr>
      <w:tr>
        <w:tc>
          <w:tcPr>
            <w:tcW w:w="2690" w:type="dxa"/>
          </w:tcPr>
          <w:p>
            <w:pPr>
              <w:pStyle w:val="Compact"/>
            </w:pPr>
            <w:r>
              <w:rPr>
                <w:rStyle w:val="VerbatimChar"/>
              </w:rPr>
              <w:t xml:space="preserve">created_at</w:t>
            </w:r>
          </w:p>
        </w:tc>
        <w:tc>
          <w:tcPr>
            <w:tcW w:w="923" w:type="dxa"/>
          </w:tcPr>
          <w:p>
            <w:pPr>
              <w:pStyle w:val="Compact"/>
            </w:pPr>
            <w:r>
              <w:t xml:space="preserve">string</w:t>
            </w:r>
          </w:p>
        </w:tc>
        <w:tc>
          <w:tcPr>
            <w:tcW w:w="1256" w:type="dxa"/>
          </w:tcPr>
          <w:p>
            <w:pPr>
              <w:pStyle w:val="Compact"/>
            </w:pPr>
            <w:r>
              <w:t xml:space="preserve">date-time</w:t>
            </w:r>
          </w:p>
        </w:tc>
        <w:tc>
          <w:tcPr>
            <w:tcW w:w="2834" w:type="dxa"/>
          </w:tcPr>
          <w:p>
            <w:pPr>
              <w:pStyle w:val="Compact"/>
            </w:pPr>
            <w:r>
              <w:t xml:space="preserve">ISO 8601 UTC</w:t>
            </w:r>
          </w:p>
        </w:tc>
        <w:tc>
          <w:tcPr>
            <w:tcW w:w="2377" w:type="dxa"/>
          </w:tcPr>
          <w:p>
            <w:pPr>
              <w:pStyle w:val="Compact"/>
            </w:pPr>
          </w:p>
        </w:tc>
      </w:tr>
    </w:tbl>
    <w:bookmarkEnd w:id="64"/>
    <w:bookmarkStart w:id="65" w:name="document-store-document-record"/>
    <w:p>
      <w:pPr>
        <w:pStyle w:val="Heading2"/>
      </w:pPr>
      <w:r>
        <w:t xml:space="preserve">2. Document store — document record</w:t>
      </w:r>
    </w:p>
    <w:tbl>
      <w:tblPr>
        <w:tblStyle w:val="Table"/>
        <w:tblW w:type="dxa" w:w="10080"/>
        <w:tblLayout w:type="fixed"/>
        <w:tblLook w:firstRow="1" w:lastRow="0" w:firstColumn="0" w:lastColumn="0" w:noHBand="0" w:noVBand="0" w:val="0020"/>
      </w:tblPr>
      <w:tblGrid>
        <w:gridCol w:w="1672"/>
        <w:gridCol w:w="892"/>
        <w:gridCol w:w="1160"/>
        <w:gridCol w:w="3253"/>
        <w:gridCol w:w="3103"/>
      </w:tblGrid>
      <w:tr>
        <w:trPr>
          <w:tblHeader w:val="on"/>
        </w:trPr>
        <w:tc>
          <w:tcPr>
            <w:tcW w:w="1672" w:type="dxa"/>
          </w:tcPr>
          <w:p>
            <w:pPr>
              <w:pStyle w:val="Compact"/>
            </w:pPr>
            <w:r>
              <w:t xml:space="preserve">Field</w:t>
            </w:r>
          </w:p>
        </w:tc>
        <w:tc>
          <w:tcPr>
            <w:tcW w:w="892" w:type="dxa"/>
          </w:tcPr>
          <w:p>
            <w:pPr>
              <w:pStyle w:val="Compact"/>
            </w:pPr>
            <w:r>
              <w:t xml:space="preserve">Source</w:t>
            </w:r>
          </w:p>
        </w:tc>
        <w:tc>
          <w:tcPr>
            <w:tcW w:w="1160" w:type="dxa"/>
          </w:tcPr>
          <w:p>
            <w:pPr>
              <w:pStyle w:val="Compact"/>
            </w:pPr>
            <w:r>
              <w:t xml:space="preserve">Contract type</w:t>
            </w:r>
          </w:p>
        </w:tc>
        <w:tc>
          <w:tcPr>
            <w:tcW w:w="3253" w:type="dxa"/>
          </w:tcPr>
          <w:p>
            <w:pPr>
              <w:pStyle w:val="Compact"/>
            </w:pPr>
            <w:r>
              <w:t xml:space="preserve">Constraint</w:t>
            </w:r>
          </w:p>
        </w:tc>
        <w:tc>
          <w:tcPr>
            <w:tcW w:w="3103" w:type="dxa"/>
          </w:tcPr>
          <w:p>
            <w:pPr>
              <w:pStyle w:val="Compact"/>
            </w:pPr>
            <w:r>
              <w:t xml:space="preserve">Notes</w:t>
            </w:r>
          </w:p>
        </w:tc>
      </w:tr>
      <w:tr>
        <w:tc>
          <w:tcPr>
            <w:tcW w:w="1672" w:type="dxa"/>
          </w:tcPr>
          <w:p>
            <w:pPr>
              <w:pStyle w:val="Compact"/>
            </w:pPr>
            <w:r>
              <w:rPr>
                <w:rStyle w:val="VerbatimChar"/>
              </w:rPr>
              <w:t xml:space="preserve">document_id</w:t>
            </w:r>
          </w:p>
        </w:tc>
        <w:tc>
          <w:tcPr>
            <w:tcW w:w="892" w:type="dxa"/>
          </w:tcPr>
          <w:p>
            <w:pPr>
              <w:pStyle w:val="Compact"/>
            </w:pPr>
            <w:r>
              <w:t xml:space="preserve">string</w:t>
            </w:r>
          </w:p>
        </w:tc>
        <w:tc>
          <w:tcPr>
            <w:tcW w:w="1160" w:type="dxa"/>
          </w:tcPr>
          <w:p>
            <w:pPr>
              <w:pStyle w:val="Compact"/>
            </w:pPr>
            <w:r>
              <w:t xml:space="preserve">string</w:t>
            </w:r>
          </w:p>
        </w:tc>
        <w:tc>
          <w:tcPr>
            <w:tcW w:w="3253" w:type="dxa"/>
          </w:tcPr>
          <w:p>
            <w:pPr>
              <w:pStyle w:val="Compact"/>
            </w:pPr>
            <w:r>
              <w:rPr>
                <w:rStyle w:val="VerbatimChar"/>
              </w:rPr>
              <w:t xml:space="preserve">^DOC-\d{5}$</w:t>
            </w:r>
          </w:p>
        </w:tc>
        <w:tc>
          <w:tcPr>
            <w:tcW w:w="3103" w:type="dxa"/>
          </w:tcPr>
          <w:p>
            <w:pPr>
              <w:pStyle w:val="Compact"/>
            </w:pPr>
          </w:p>
        </w:tc>
      </w:tr>
      <w:tr>
        <w:tc>
          <w:tcPr>
            <w:tcW w:w="1672" w:type="dxa"/>
          </w:tcPr>
          <w:p>
            <w:pPr>
              <w:pStyle w:val="Compact"/>
            </w:pPr>
            <w:r>
              <w:rPr>
                <w:rStyle w:val="VerbatimChar"/>
              </w:rPr>
              <w:t xml:space="preserve">claim_id</w:t>
            </w:r>
          </w:p>
        </w:tc>
        <w:tc>
          <w:tcPr>
            <w:tcW w:w="892" w:type="dxa"/>
          </w:tcPr>
          <w:p>
            <w:pPr>
              <w:pStyle w:val="Compact"/>
            </w:pPr>
            <w:r>
              <w:t xml:space="preserve">string</w:t>
            </w:r>
          </w:p>
        </w:tc>
        <w:tc>
          <w:tcPr>
            <w:tcW w:w="1160" w:type="dxa"/>
          </w:tcPr>
          <w:p>
            <w:pPr>
              <w:pStyle w:val="Compact"/>
            </w:pPr>
            <w:r>
              <w:t xml:space="preserve">string</w:t>
            </w:r>
          </w:p>
        </w:tc>
        <w:tc>
          <w:tcPr>
            <w:tcW w:w="3253" w:type="dxa"/>
          </w:tcPr>
          <w:p>
            <w:pPr>
              <w:pStyle w:val="Compact"/>
            </w:pPr>
            <w:r>
              <w:t xml:space="preserve">FK → claim (I-4)</w:t>
            </w:r>
          </w:p>
        </w:tc>
        <w:tc>
          <w:tcPr>
            <w:tcW w:w="3103" w:type="dxa"/>
          </w:tcPr>
          <w:p>
            <w:pPr>
              <w:pStyle w:val="Compact"/>
            </w:pPr>
          </w:p>
        </w:tc>
      </w:tr>
      <w:tr>
        <w:tc>
          <w:tcPr>
            <w:tcW w:w="1672" w:type="dxa"/>
          </w:tcPr>
          <w:p>
            <w:pPr>
              <w:pStyle w:val="Compact"/>
            </w:pPr>
            <w:r>
              <w:rPr>
                <w:rStyle w:val="VerbatimChar"/>
              </w:rPr>
              <w:t xml:space="preserve">document_type</w:t>
            </w:r>
          </w:p>
        </w:tc>
        <w:tc>
          <w:tcPr>
            <w:tcW w:w="892" w:type="dxa"/>
          </w:tcPr>
          <w:p>
            <w:pPr>
              <w:pStyle w:val="Compact"/>
            </w:pPr>
            <w:r>
              <w:t xml:space="preserve">string</w:t>
            </w:r>
          </w:p>
        </w:tc>
        <w:tc>
          <w:tcPr>
            <w:tcW w:w="1160" w:type="dxa"/>
          </w:tcPr>
          <w:p>
            <w:pPr>
              <w:pStyle w:val="Compact"/>
            </w:pPr>
            <w:r>
              <w:t xml:space="preserve">enum</w:t>
            </w:r>
          </w:p>
        </w:tc>
        <w:tc>
          <w:tcPr>
            <w:tcW w:w="3253" w:type="dxa"/>
          </w:tcPr>
          <w:p>
            <w:pPr>
              <w:pStyle w:val="Compact"/>
            </w:pPr>
            <w:r>
              <w:t xml:space="preserve">FNOL_FORM · POLICE_REPORT · DAMAGE_PHOTOS · REPAIR_ESTIMATE · WITNESS_STATEMENT · MEDICAL_REPORT · RENTAL_RECEIPT · PREMIUM_RECEIPT</w:t>
            </w:r>
          </w:p>
        </w:tc>
        <w:tc>
          <w:tcPr>
            <w:tcW w:w="3103" w:type="dxa"/>
          </w:tcPr>
          <w:p>
            <w:pPr>
              <w:pStyle w:val="Compact"/>
            </w:pPr>
            <w:r>
              <w:t xml:space="preserve">PREMIUM_RECEIPT isn’t in the export. It was added because eval case W1-F05 needs it: a case the contract can’t serve is a contract bug</w:t>
            </w:r>
          </w:p>
        </w:tc>
      </w:tr>
      <w:tr>
        <w:tc>
          <w:tcPr>
            <w:tcW w:w="1672" w:type="dxa"/>
          </w:tcPr>
          <w:p>
            <w:pPr>
              <w:pStyle w:val="Compact"/>
            </w:pPr>
            <w:r>
              <w:rPr>
                <w:rStyle w:val="VerbatimChar"/>
              </w:rPr>
              <w:t xml:space="preserve">description</w:t>
            </w:r>
          </w:p>
        </w:tc>
        <w:tc>
          <w:tcPr>
            <w:tcW w:w="892" w:type="dxa"/>
          </w:tcPr>
          <w:p>
            <w:pPr>
              <w:pStyle w:val="Compact"/>
            </w:pPr>
            <w:r>
              <w:t xml:space="preserve">string</w:t>
            </w:r>
          </w:p>
        </w:tc>
        <w:tc>
          <w:tcPr>
            <w:tcW w:w="1160" w:type="dxa"/>
          </w:tcPr>
          <w:p>
            <w:pPr>
              <w:pStyle w:val="Compact"/>
            </w:pPr>
            <w:r>
              <w:t xml:space="preserve">string</w:t>
            </w:r>
          </w:p>
        </w:tc>
        <w:tc>
          <w:tcPr>
            <w:tcW w:w="3253" w:type="dxa"/>
          </w:tcPr>
          <w:p>
            <w:pPr>
              <w:pStyle w:val="Compact"/>
            </w:pPr>
          </w:p>
        </w:tc>
        <w:tc>
          <w:tcPr>
            <w:tcW w:w="3103" w:type="dxa"/>
          </w:tcPr>
          <w:p>
            <w:pPr>
              <w:pStyle w:val="Compact"/>
            </w:pPr>
            <w:r>
              <w:t xml:space="preserve">Stands in for OCR text in the mock</w:t>
            </w:r>
          </w:p>
        </w:tc>
      </w:tr>
      <w:tr>
        <w:tc>
          <w:tcPr>
            <w:tcW w:w="1672" w:type="dxa"/>
          </w:tcPr>
          <w:p>
            <w:pPr>
              <w:pStyle w:val="Compact"/>
            </w:pPr>
            <w:r>
              <w:rPr>
                <w:rStyle w:val="VerbatimChar"/>
              </w:rPr>
              <w:t xml:space="preserve">upload_date</w:t>
            </w:r>
          </w:p>
        </w:tc>
        <w:tc>
          <w:tcPr>
            <w:tcW w:w="892" w:type="dxa"/>
          </w:tcPr>
          <w:p>
            <w:pPr>
              <w:pStyle w:val="Compact"/>
            </w:pPr>
            <w:r>
              <w:t xml:space="preserve">string</w:t>
            </w:r>
          </w:p>
        </w:tc>
        <w:tc>
          <w:tcPr>
            <w:tcW w:w="1160" w:type="dxa"/>
          </w:tcPr>
          <w:p>
            <w:pPr>
              <w:pStyle w:val="Compact"/>
            </w:pPr>
            <w:r>
              <w:t xml:space="preserve">date</w:t>
            </w:r>
          </w:p>
        </w:tc>
        <w:tc>
          <w:tcPr>
            <w:tcW w:w="3253" w:type="dxa"/>
          </w:tcPr>
          <w:p>
            <w:pPr>
              <w:pStyle w:val="Compact"/>
            </w:pPr>
            <w:r>
              <w:t xml:space="preserve">≥ incident date (I-5)</w:t>
            </w:r>
          </w:p>
        </w:tc>
        <w:tc>
          <w:tcPr>
            <w:tcW w:w="3103" w:type="dxa"/>
          </w:tcPr>
          <w:p>
            <w:pPr>
              <w:pStyle w:val="Compact"/>
            </w:pPr>
          </w:p>
        </w:tc>
      </w:tr>
      <w:tr>
        <w:tc>
          <w:tcPr>
            <w:tcW w:w="1672" w:type="dxa"/>
          </w:tcPr>
          <w:p>
            <w:pPr>
              <w:pStyle w:val="Compact"/>
            </w:pPr>
            <w:r>
              <w:rPr>
                <w:rStyle w:val="VerbatimChar"/>
              </w:rPr>
              <w:t xml:space="preserve">page_count</w:t>
            </w:r>
          </w:p>
        </w:tc>
        <w:tc>
          <w:tcPr>
            <w:tcW w:w="892" w:type="dxa"/>
          </w:tcPr>
          <w:p>
            <w:pPr>
              <w:pStyle w:val="Compact"/>
            </w:pPr>
            <w:r>
              <w:t xml:space="preserve">string</w:t>
            </w:r>
          </w:p>
        </w:tc>
        <w:tc>
          <w:tcPr>
            <w:tcW w:w="1160" w:type="dxa"/>
          </w:tcPr>
          <w:p>
            <w:pPr>
              <w:pStyle w:val="Compact"/>
            </w:pPr>
            <w:r>
              <w:t xml:space="preserve">integer</w:t>
            </w:r>
          </w:p>
        </w:tc>
        <w:tc>
          <w:tcPr>
            <w:tcW w:w="3253" w:type="dxa"/>
          </w:tcPr>
          <w:p>
            <w:pPr>
              <w:pStyle w:val="Compact"/>
            </w:pPr>
            <w:r>
              <w:t xml:space="preserve">≥ 1</w:t>
            </w:r>
          </w:p>
        </w:tc>
        <w:tc>
          <w:tcPr>
            <w:tcW w:w="3103" w:type="dxa"/>
          </w:tcPr>
          <w:p>
            <w:pPr>
              <w:pStyle w:val="Compact"/>
            </w:pPr>
          </w:p>
        </w:tc>
      </w:tr>
      <w:tr>
        <w:tc>
          <w:tcPr>
            <w:tcW w:w="1672" w:type="dxa"/>
          </w:tcPr>
          <w:p>
            <w:pPr>
              <w:pStyle w:val="Compact"/>
            </w:pPr>
            <w:r>
              <w:rPr>
                <w:rStyle w:val="VerbatimChar"/>
              </w:rPr>
              <w:t xml:space="preserve">ocr_status</w:t>
            </w:r>
          </w:p>
        </w:tc>
        <w:tc>
          <w:tcPr>
            <w:tcW w:w="892" w:type="dxa"/>
          </w:tcPr>
          <w:p>
            <w:pPr>
              <w:pStyle w:val="Compact"/>
            </w:pPr>
            <w:r>
              <w:t xml:space="preserve">string</w:t>
            </w:r>
          </w:p>
        </w:tc>
        <w:tc>
          <w:tcPr>
            <w:tcW w:w="1160" w:type="dxa"/>
          </w:tcPr>
          <w:p>
            <w:pPr>
              <w:pStyle w:val="Compact"/>
            </w:pPr>
            <w:r>
              <w:t xml:space="preserve">enum</w:t>
            </w:r>
          </w:p>
        </w:tc>
        <w:tc>
          <w:tcPr>
            <w:tcW w:w="3253" w:type="dxa"/>
          </w:tcPr>
          <w:p>
            <w:pPr>
              <w:pStyle w:val="Compact"/>
            </w:pPr>
            <w:r>
              <w:t xml:space="preserve">Completed · Pending · Failed</w:t>
            </w:r>
          </w:p>
        </w:tc>
        <w:tc>
          <w:tcPr>
            <w:tcW w:w="3103" w:type="dxa"/>
          </w:tcPr>
          <w:p>
            <w:pPr>
              <w:pStyle w:val="Compact"/>
            </w:pPr>
            <w:r>
              <w:rPr>
                <w:rStyle w:val="VerbatimChar"/>
              </w:rPr>
              <w:t xml:space="preserve">Failed</w:t>
            </w:r>
            <w:r>
              <w:t xml:space="preserve"> </w:t>
            </w:r>
            <w:r>
              <w:t xml:space="preserve">is reserved; not in the export</w:t>
            </w:r>
          </w:p>
        </w:tc>
      </w:tr>
      <w:tr>
        <w:tc>
          <w:tcPr>
            <w:tcW w:w="1672" w:type="dxa"/>
          </w:tcPr>
          <w:p>
            <w:pPr>
              <w:pStyle w:val="Compact"/>
            </w:pPr>
            <w:r>
              <w:rPr>
                <w:rStyle w:val="VerbatimChar"/>
              </w:rPr>
              <w:t xml:space="preserve">uploaded_by</w:t>
            </w:r>
          </w:p>
        </w:tc>
        <w:tc>
          <w:tcPr>
            <w:tcW w:w="892" w:type="dxa"/>
          </w:tcPr>
          <w:p>
            <w:pPr>
              <w:pStyle w:val="Compact"/>
            </w:pPr>
            <w:r>
              <w:t xml:space="preserve">string</w:t>
            </w:r>
          </w:p>
        </w:tc>
        <w:tc>
          <w:tcPr>
            <w:tcW w:w="1160" w:type="dxa"/>
          </w:tcPr>
          <w:p>
            <w:pPr>
              <w:pStyle w:val="Compact"/>
            </w:pPr>
            <w:r>
              <w:t xml:space="preserve">string</w:t>
            </w:r>
          </w:p>
        </w:tc>
        <w:tc>
          <w:tcPr>
            <w:tcW w:w="3253" w:type="dxa"/>
          </w:tcPr>
          <w:p>
            <w:pPr>
              <w:pStyle w:val="Compact"/>
            </w:pPr>
            <w:r>
              <w:t xml:space="preserve">user id</w:t>
            </w:r>
          </w:p>
        </w:tc>
        <w:tc>
          <w:tcPr>
            <w:tcW w:w="3103" w:type="dxa"/>
          </w:tcPr>
          <w:p>
            <w:pPr>
              <w:pStyle w:val="Compact"/>
            </w:pPr>
            <w:r>
              <w:t xml:space="preserve">Not sent to the model</w:t>
            </w:r>
          </w:p>
        </w:tc>
      </w:tr>
      <w:tr>
        <w:tc>
          <w:tcPr>
            <w:tcW w:w="1672" w:type="dxa"/>
          </w:tcPr>
          <w:p>
            <w:pPr>
              <w:pStyle w:val="Compact"/>
            </w:pPr>
            <w:r>
              <w:rPr>
                <w:rStyle w:val="VerbatimChar"/>
              </w:rPr>
              <w:t xml:space="preserve">ocr_text</w:t>
            </w:r>
          </w:p>
        </w:tc>
        <w:tc>
          <w:tcPr>
            <w:tcW w:w="892" w:type="dxa"/>
          </w:tcPr>
          <w:p>
            <w:pPr>
              <w:pStyle w:val="Compact"/>
            </w:pPr>
            <w:r>
              <w:t xml:space="preserve">—</w:t>
            </w:r>
          </w:p>
        </w:tc>
        <w:tc>
          <w:tcPr>
            <w:tcW w:w="1160" w:type="dxa"/>
          </w:tcPr>
          <w:p>
            <w:pPr>
              <w:pStyle w:val="Compact"/>
            </w:pPr>
            <w:r>
              <w:t xml:space="preserve">string | null</w:t>
            </w:r>
          </w:p>
        </w:tc>
        <w:tc>
          <w:tcPr>
            <w:tcW w:w="3253" w:type="dxa"/>
          </w:tcPr>
          <w:p>
            <w:pPr>
              <w:pStyle w:val="Compact"/>
            </w:pPr>
            <w:r>
              <w:rPr>
                <w:rStyle w:val="VerbatimChar"/>
              </w:rPr>
              <w:t xml:space="preserve">get_document</w:t>
            </w:r>
            <w:r>
              <w:t xml:space="preserve"> </w:t>
            </w:r>
            <w:r>
              <w:t xml:space="preserve">only</w:t>
            </w:r>
          </w:p>
        </w:tc>
        <w:tc>
          <w:tcPr>
            <w:tcW w:w="3103" w:type="dxa"/>
          </w:tcPr>
          <w:p>
            <w:pPr>
              <w:pStyle w:val="Compact"/>
            </w:pPr>
            <w:r>
              <w:rPr>
                <w:rStyle w:val="VerbatimChar"/>
              </w:rPr>
              <w:t xml:space="preserve">null</w:t>
            </w:r>
            <w:r>
              <w:t xml:space="preserve"> </w:t>
            </w:r>
            <w:r>
              <w:t xml:space="preserve">unless Completed</w:t>
            </w:r>
          </w:p>
        </w:tc>
      </w:tr>
    </w:tbl>
    <w:bookmarkEnd w:id="65"/>
    <w:bookmarkStart w:id="66" w:name="policy-admin-declarations"/>
    <w:p>
      <w:pPr>
        <w:pStyle w:val="Heading2"/>
      </w:pPr>
      <w:r>
        <w:t xml:space="preserve">3. Policy admin — declarations</w:t>
      </w:r>
    </w:p>
    <w:tbl>
      <w:tblPr>
        <w:tblStyle w:val="Table"/>
        <w:tblW w:type="dxa" w:w="10080"/>
        <w:tblLayout w:type="fixed"/>
        <w:tblLook w:firstRow="1" w:lastRow="0" w:firstColumn="0" w:lastColumn="0" w:noHBand="0" w:noVBand="0" w:val="0020"/>
      </w:tblPr>
      <w:tblGrid>
        <w:gridCol w:w="3254"/>
        <w:gridCol w:w="1518"/>
        <w:gridCol w:w="1068"/>
        <w:gridCol w:w="2287"/>
        <w:gridCol w:w="1953"/>
      </w:tblGrid>
      <w:tr>
        <w:trPr>
          <w:tblHeader w:val="on"/>
        </w:trPr>
        <w:tc>
          <w:tcPr>
            <w:tcW w:w="3254" w:type="dxa"/>
          </w:tcPr>
          <w:p>
            <w:pPr>
              <w:pStyle w:val="Compact"/>
            </w:pPr>
            <w:r>
              <w:t xml:space="preserve">Field</w:t>
            </w:r>
          </w:p>
        </w:tc>
        <w:tc>
          <w:tcPr>
            <w:tcW w:w="1518" w:type="dxa"/>
          </w:tcPr>
          <w:p>
            <w:pPr>
              <w:pStyle w:val="Compact"/>
            </w:pPr>
            <w:r>
              <w:t xml:space="preserve">Source</w:t>
            </w:r>
          </w:p>
        </w:tc>
        <w:tc>
          <w:tcPr>
            <w:tcW w:w="1068" w:type="dxa"/>
          </w:tcPr>
          <w:p>
            <w:pPr>
              <w:pStyle w:val="Compact"/>
            </w:pPr>
            <w:r>
              <w:t xml:space="preserve">Contract type</w:t>
            </w:r>
          </w:p>
        </w:tc>
        <w:tc>
          <w:tcPr>
            <w:tcW w:w="2287" w:type="dxa"/>
          </w:tcPr>
          <w:p>
            <w:pPr>
              <w:pStyle w:val="Compact"/>
            </w:pPr>
            <w:r>
              <w:t xml:space="preserve">Constraint</w:t>
            </w:r>
          </w:p>
        </w:tc>
        <w:tc>
          <w:tcPr>
            <w:tcW w:w="1953" w:type="dxa"/>
          </w:tcPr>
          <w:p>
            <w:pPr>
              <w:pStyle w:val="Compact"/>
            </w:pPr>
            <w:r>
              <w:t xml:space="preserve">Notes</w:t>
            </w:r>
          </w:p>
        </w:tc>
      </w:tr>
      <w:tr>
        <w:tc>
          <w:tcPr>
            <w:tcW w:w="3254" w:type="dxa"/>
          </w:tcPr>
          <w:p>
            <w:pPr>
              <w:pStyle w:val="Compact"/>
            </w:pPr>
            <w:r>
              <w:rPr>
                <w:rStyle w:val="VerbatimChar"/>
              </w:rPr>
              <w:t xml:space="preserve">policy_id</w:t>
            </w:r>
          </w:p>
        </w:tc>
        <w:tc>
          <w:tcPr>
            <w:tcW w:w="1518" w:type="dxa"/>
          </w:tcPr>
          <w:p>
            <w:pPr>
              <w:pStyle w:val="Compact"/>
            </w:pPr>
            <w:r>
              <w:t xml:space="preserve">string</w:t>
            </w:r>
          </w:p>
        </w:tc>
        <w:tc>
          <w:tcPr>
            <w:tcW w:w="1068" w:type="dxa"/>
          </w:tcPr>
          <w:p>
            <w:pPr>
              <w:pStyle w:val="Compact"/>
            </w:pPr>
            <w:r>
              <w:t xml:space="preserve">string</w:t>
            </w:r>
          </w:p>
        </w:tc>
        <w:tc>
          <w:tcPr>
            <w:tcW w:w="2287" w:type="dxa"/>
          </w:tcPr>
          <w:p>
            <w:pPr>
              <w:pStyle w:val="Compact"/>
            </w:pPr>
            <w:r>
              <w:rPr>
                <w:rStyle w:val="VerbatimChar"/>
              </w:rPr>
              <w:t xml:space="preserve">^POL-[A-Z]{3}-\d{5}$</w:t>
            </w:r>
          </w:p>
        </w:tc>
        <w:tc>
          <w:tcPr>
            <w:tcW w:w="1953" w:type="dxa"/>
          </w:tcPr>
          <w:p>
            <w:pPr>
              <w:pStyle w:val="Compact"/>
            </w:pPr>
          </w:p>
        </w:tc>
      </w:tr>
      <w:tr>
        <w:tc>
          <w:tcPr>
            <w:tcW w:w="3254" w:type="dxa"/>
          </w:tcPr>
          <w:p>
            <w:pPr>
              <w:pStyle w:val="Compact"/>
            </w:pPr>
            <w:r>
              <w:rPr>
                <w:rStyle w:val="VerbatimChar"/>
              </w:rPr>
              <w:t xml:space="preserve">holder_first</w:t>
            </w:r>
            <w:r>
              <w:t xml:space="preserve">,</w:t>
            </w:r>
            <w:r>
              <w:t xml:space="preserve"> </w:t>
            </w:r>
            <w:r>
              <w:rPr>
                <w:rStyle w:val="VerbatimChar"/>
              </w:rPr>
              <w:t xml:space="preserve">holder_last</w:t>
            </w:r>
          </w:p>
        </w:tc>
        <w:tc>
          <w:tcPr>
            <w:tcW w:w="1518" w:type="dxa"/>
          </w:tcPr>
          <w:p>
            <w:pPr>
              <w:pStyle w:val="Compact"/>
            </w:pPr>
            <w:r>
              <w:t xml:space="preserve">string</w:t>
            </w:r>
          </w:p>
        </w:tc>
        <w:tc>
          <w:tcPr>
            <w:tcW w:w="1068" w:type="dxa"/>
          </w:tcPr>
          <w:p>
            <w:pPr>
              <w:pStyle w:val="Compact"/>
            </w:pPr>
            <w:r>
              <w:rPr>
                <w:b/>
                <w:bCs/>
              </w:rPr>
              <w:t xml:space="preserve">dropped</w:t>
            </w:r>
          </w:p>
        </w:tc>
        <w:tc>
          <w:tcPr>
            <w:tcW w:w="2287" w:type="dxa"/>
          </w:tcPr>
          <w:p>
            <w:pPr>
              <w:pStyle w:val="Compact"/>
            </w:pPr>
            <w:r>
              <w:t xml:space="preserve">—</w:t>
            </w:r>
          </w:p>
        </w:tc>
        <w:tc>
          <w:tcPr>
            <w:tcW w:w="1953" w:type="dxa"/>
          </w:tcPr>
          <w:p>
            <w:pPr>
              <w:pStyle w:val="Compact"/>
            </w:pPr>
            <w:r>
              <w:t xml:space="preserve">PII. Not in the contract (DEC-013)</w:t>
            </w:r>
          </w:p>
        </w:tc>
      </w:tr>
      <w:tr>
        <w:tc>
          <w:tcPr>
            <w:tcW w:w="3254" w:type="dxa"/>
          </w:tcPr>
          <w:p>
            <w:pPr>
              <w:pStyle w:val="Compact"/>
            </w:pPr>
            <w:r>
              <w:rPr>
                <w:rStyle w:val="VerbatimChar"/>
              </w:rPr>
              <w:t xml:space="preserve">vehicle_vin</w:t>
            </w:r>
            <w:r>
              <w:t xml:space="preserve">,</w:t>
            </w:r>
            <w:r>
              <w:t xml:space="preserve"> </w:t>
            </w:r>
            <w:r>
              <w:rPr>
                <w:rStyle w:val="VerbatimChar"/>
              </w:rPr>
              <w:t xml:space="preserve">vehicle_year</w:t>
            </w:r>
            <w:r>
              <w:t xml:space="preserve">,</w:t>
            </w:r>
            <w:r>
              <w:t xml:space="preserve"> </w:t>
            </w:r>
            <w:r>
              <w:rPr>
                <w:rStyle w:val="VerbatimChar"/>
              </w:rPr>
              <w:t xml:space="preserve">vehicle_make</w:t>
            </w:r>
            <w:r>
              <w:t xml:space="preserve">,</w:t>
            </w:r>
            <w:r>
              <w:t xml:space="preserve"> </w:t>
            </w:r>
            <w:r>
              <w:rPr>
                <w:rStyle w:val="VerbatimChar"/>
              </w:rPr>
              <w:t xml:space="preserve">vehicle_model</w:t>
            </w:r>
            <w:r>
              <w:t xml:space="preserve">,</w:t>
            </w:r>
            <w:r>
              <w:t xml:space="preserve"> </w:t>
            </w:r>
            <w:r>
              <w:rPr>
                <w:rStyle w:val="VerbatimChar"/>
              </w:rPr>
              <w:t xml:space="preserve">vehicle_acv_usd</w:t>
            </w:r>
          </w:p>
        </w:tc>
        <w:tc>
          <w:tcPr>
            <w:tcW w:w="1518" w:type="dxa"/>
          </w:tcPr>
          <w:p>
            <w:pPr>
              <w:pStyle w:val="Compact"/>
            </w:pPr>
            <w:r>
              <w:t xml:space="preserve">string</w:t>
            </w:r>
          </w:p>
        </w:tc>
        <w:tc>
          <w:tcPr>
            <w:tcW w:w="1068" w:type="dxa"/>
          </w:tcPr>
          <w:p>
            <w:pPr>
              <w:pStyle w:val="Compact"/>
            </w:pPr>
            <w:r>
              <w:t xml:space="preserve">as in the claim record</w:t>
            </w:r>
          </w:p>
        </w:tc>
        <w:tc>
          <w:tcPr>
            <w:tcW w:w="2287" w:type="dxa"/>
          </w:tcPr>
          <w:p>
            <w:pPr>
              <w:pStyle w:val="Compact"/>
            </w:pPr>
          </w:p>
        </w:tc>
        <w:tc>
          <w:tcPr>
            <w:tcW w:w="1953" w:type="dxa"/>
          </w:tcPr>
          <w:p>
            <w:pPr>
              <w:pStyle w:val="Compact"/>
            </w:pPr>
          </w:p>
        </w:tc>
      </w:tr>
      <w:tr>
        <w:tc>
          <w:tcPr>
            <w:tcW w:w="3254" w:type="dxa"/>
          </w:tcPr>
          <w:p>
            <w:pPr>
              <w:pStyle w:val="Compact"/>
            </w:pPr>
            <w:r>
              <w:rPr>
                <w:rStyle w:val="VerbatimChar"/>
              </w:rPr>
              <w:t xml:space="preserve">coverage_type</w:t>
            </w:r>
          </w:p>
        </w:tc>
        <w:tc>
          <w:tcPr>
            <w:tcW w:w="1518" w:type="dxa"/>
          </w:tcPr>
          <w:p>
            <w:pPr>
              <w:pStyle w:val="Compact"/>
            </w:pPr>
            <w:r>
              <w:t xml:space="preserve">string</w:t>
            </w:r>
          </w:p>
        </w:tc>
        <w:tc>
          <w:tcPr>
            <w:tcW w:w="1068" w:type="dxa"/>
          </w:tcPr>
          <w:p>
            <w:pPr>
              <w:pStyle w:val="Compact"/>
            </w:pPr>
            <w:r>
              <w:t xml:space="preserve">enum</w:t>
            </w:r>
          </w:p>
        </w:tc>
        <w:tc>
          <w:tcPr>
            <w:tcW w:w="2287" w:type="dxa"/>
          </w:tcPr>
          <w:p>
            <w:pPr>
              <w:pStyle w:val="Compact"/>
            </w:pPr>
            <w:r>
              <w:t xml:space="preserve">Full Coverage · Liability Only</w:t>
            </w:r>
          </w:p>
        </w:tc>
        <w:tc>
          <w:tcPr>
            <w:tcW w:w="1953" w:type="dxa"/>
          </w:tcPr>
          <w:p>
            <w:pPr>
              <w:pStyle w:val="Compact"/>
            </w:pPr>
          </w:p>
        </w:tc>
      </w:tr>
      <w:tr>
        <w:tc>
          <w:tcPr>
            <w:tcW w:w="3254" w:type="dxa"/>
          </w:tcPr>
          <w:p>
            <w:pPr>
              <w:pStyle w:val="Compact"/>
            </w:pPr>
            <w:r>
              <w:rPr>
                <w:rStyle w:val="VerbatimChar"/>
              </w:rPr>
              <w:t xml:space="preserve">collision_coverage</w:t>
            </w:r>
            <w:r>
              <w:t xml:space="preserve">,</w:t>
            </w:r>
            <w:r>
              <w:t xml:space="preserve"> </w:t>
            </w:r>
            <w:r>
              <w:rPr>
                <w:rStyle w:val="VerbatimChar"/>
              </w:rPr>
              <w:t xml:space="preserve">comprehensive_coverage</w:t>
            </w:r>
          </w:p>
        </w:tc>
        <w:tc>
          <w:tcPr>
            <w:tcW w:w="1518" w:type="dxa"/>
          </w:tcPr>
          <w:p>
            <w:pPr>
              <w:pStyle w:val="Compact"/>
            </w:pPr>
            <w:r>
              <w:rPr>
                <w:rStyle w:val="VerbatimChar"/>
              </w:rPr>
              <w:t xml:space="preserve">Yes</w:t>
            </w:r>
            <w:r>
              <w:t xml:space="preserve">/</w:t>
            </w:r>
            <w:r>
              <w:rPr>
                <w:rStyle w:val="VerbatimChar"/>
              </w:rPr>
              <w:t xml:space="preserve">No</w:t>
            </w:r>
          </w:p>
        </w:tc>
        <w:tc>
          <w:tcPr>
            <w:tcW w:w="1068" w:type="dxa"/>
          </w:tcPr>
          <w:p>
            <w:pPr>
              <w:pStyle w:val="Compact"/>
            </w:pPr>
            <w:r>
              <w:t xml:space="preserve">boolean</w:t>
            </w:r>
          </w:p>
        </w:tc>
        <w:tc>
          <w:tcPr>
            <w:tcW w:w="2287" w:type="dxa"/>
          </w:tcPr>
          <w:p>
            <w:pPr>
              <w:pStyle w:val="Compact"/>
            </w:pPr>
          </w:p>
        </w:tc>
        <w:tc>
          <w:tcPr>
            <w:tcW w:w="1953" w:type="dxa"/>
          </w:tcPr>
          <w:p>
            <w:pPr>
              <w:pStyle w:val="Compact"/>
            </w:pPr>
            <w:r>
              <w:t xml:space="preserve">Liability Only ⇒ both false (I-6)</w:t>
            </w:r>
          </w:p>
        </w:tc>
      </w:tr>
      <w:tr>
        <w:tc>
          <w:tcPr>
            <w:tcW w:w="3254" w:type="dxa"/>
          </w:tcPr>
          <w:p>
            <w:pPr>
              <w:pStyle w:val="Compact"/>
            </w:pPr>
            <w:r>
              <w:rPr>
                <w:rStyle w:val="VerbatimChar"/>
              </w:rPr>
              <w:t xml:space="preserve">collision_deductible_usd</w:t>
            </w:r>
            <w:r>
              <w:t xml:space="preserve">,</w:t>
            </w:r>
            <w:r>
              <w:t xml:space="preserve"> </w:t>
            </w:r>
            <w:r>
              <w:rPr>
                <w:rStyle w:val="VerbatimChar"/>
              </w:rPr>
              <w:t xml:space="preserve">comprehensive_deductible_usd</w:t>
            </w:r>
          </w:p>
        </w:tc>
        <w:tc>
          <w:tcPr>
            <w:tcW w:w="1518" w:type="dxa"/>
          </w:tcPr>
          <w:p>
            <w:pPr>
              <w:pStyle w:val="Compact"/>
            </w:pPr>
            <w:r>
              <w:t xml:space="preserve">number or</w:t>
            </w:r>
            <w:r>
              <w:t xml:space="preserve"> </w:t>
            </w:r>
            <w:r>
              <w:rPr>
                <w:rStyle w:val="VerbatimChar"/>
              </w:rPr>
              <w:t xml:space="preserve">N/A</w:t>
            </w:r>
          </w:p>
        </w:tc>
        <w:tc>
          <w:tcPr>
            <w:tcW w:w="1068" w:type="dxa"/>
          </w:tcPr>
          <w:p>
            <w:pPr>
              <w:pStyle w:val="Compact"/>
            </w:pPr>
            <w:r>
              <w:t xml:space="preserve">number | null</w:t>
            </w:r>
          </w:p>
        </w:tc>
        <w:tc>
          <w:tcPr>
            <w:tcW w:w="2287" w:type="dxa"/>
          </w:tcPr>
          <w:p>
            <w:pPr>
              <w:pStyle w:val="Compact"/>
            </w:pPr>
            <w:r>
              <w:rPr>
                <w:rStyle w:val="VerbatimChar"/>
              </w:rPr>
              <w:t xml:space="preserve">null</w:t>
            </w:r>
            <w:r>
              <w:t xml:space="preserve"> </w:t>
            </w:r>
            <w:r>
              <w:t xml:space="preserve">iff the coverage is false (I-6)</w:t>
            </w:r>
          </w:p>
        </w:tc>
        <w:tc>
          <w:tcPr>
            <w:tcW w:w="1953" w:type="dxa"/>
          </w:tcPr>
          <w:p>
            <w:pPr>
              <w:pStyle w:val="Compact"/>
            </w:pPr>
          </w:p>
        </w:tc>
      </w:tr>
      <w:tr>
        <w:tc>
          <w:tcPr>
            <w:tcW w:w="3254" w:type="dxa"/>
          </w:tcPr>
          <w:p>
            <w:pPr>
              <w:pStyle w:val="Compact"/>
            </w:pPr>
            <w:r>
              <w:rPr>
                <w:rStyle w:val="VerbatimChar"/>
              </w:rPr>
              <w:t xml:space="preserve">liability_limit</w:t>
            </w:r>
          </w:p>
        </w:tc>
        <w:tc>
          <w:tcPr>
            <w:tcW w:w="1518" w:type="dxa"/>
          </w:tcPr>
          <w:p>
            <w:pPr>
              <w:pStyle w:val="Compact"/>
            </w:pPr>
            <w:r>
              <w:rPr>
                <w:rStyle w:val="VerbatimChar"/>
              </w:rPr>
              <w:t xml:space="preserve">300000/100000</w:t>
            </w:r>
          </w:p>
        </w:tc>
        <w:tc>
          <w:tcPr>
            <w:tcW w:w="1068" w:type="dxa"/>
          </w:tcPr>
          <w:p>
            <w:pPr>
              <w:pStyle w:val="Compact"/>
            </w:pPr>
            <w:r>
              <w:t xml:space="preserve">string</w:t>
            </w:r>
          </w:p>
        </w:tc>
        <w:tc>
          <w:tcPr>
            <w:tcW w:w="2287" w:type="dxa"/>
          </w:tcPr>
          <w:p>
            <w:pPr>
              <w:pStyle w:val="Compact"/>
            </w:pPr>
            <w:r>
              <w:rPr>
                <w:rStyle w:val="VerbatimChar"/>
              </w:rPr>
              <w:t xml:space="preserve">^\d+/\d+$</w:t>
            </w:r>
          </w:p>
        </w:tc>
        <w:tc>
          <w:tcPr>
            <w:tcW w:w="1953" w:type="dxa"/>
          </w:tcPr>
          <w:p>
            <w:pPr>
              <w:pStyle w:val="Compact"/>
            </w:pPr>
            <w:r>
              <w:t xml:space="preserve">Kept opaque; meaning of the split open with Grace (Q-08). Unused in the pilot</w:t>
            </w:r>
          </w:p>
        </w:tc>
      </w:tr>
      <w:tr>
        <w:tc>
          <w:tcPr>
            <w:tcW w:w="3254" w:type="dxa"/>
          </w:tcPr>
          <w:p>
            <w:pPr>
              <w:pStyle w:val="Compact"/>
            </w:pPr>
            <w:r>
              <w:rPr>
                <w:rStyle w:val="VerbatimChar"/>
              </w:rPr>
              <w:t xml:space="preserve">medpay_limit_usd</w:t>
            </w:r>
          </w:p>
        </w:tc>
        <w:tc>
          <w:tcPr>
            <w:tcW w:w="1518" w:type="dxa"/>
          </w:tcPr>
          <w:p>
            <w:pPr>
              <w:pStyle w:val="Compact"/>
            </w:pPr>
            <w:r>
              <w:t xml:space="preserve">string</w:t>
            </w:r>
          </w:p>
        </w:tc>
        <w:tc>
          <w:tcPr>
            <w:tcW w:w="1068" w:type="dxa"/>
          </w:tcPr>
          <w:p>
            <w:pPr>
              <w:pStyle w:val="Compact"/>
            </w:pPr>
            <w:r>
              <w:t xml:space="preserve">number</w:t>
            </w:r>
          </w:p>
        </w:tc>
        <w:tc>
          <w:tcPr>
            <w:tcW w:w="2287" w:type="dxa"/>
          </w:tcPr>
          <w:p>
            <w:pPr>
              <w:pStyle w:val="Compact"/>
            </w:pPr>
            <w:r>
              <w:t xml:space="preserve">≥ 0</w:t>
            </w:r>
          </w:p>
        </w:tc>
        <w:tc>
          <w:tcPr>
            <w:tcW w:w="1953" w:type="dxa"/>
          </w:tcPr>
          <w:p>
            <w:pPr>
              <w:pStyle w:val="Compact"/>
            </w:pPr>
          </w:p>
        </w:tc>
      </w:tr>
      <w:tr>
        <w:tc>
          <w:tcPr>
            <w:tcW w:w="3254" w:type="dxa"/>
          </w:tcPr>
          <w:p>
            <w:pPr>
              <w:pStyle w:val="Compact"/>
            </w:pPr>
            <w:r>
              <w:rPr>
                <w:rStyle w:val="VerbatimChar"/>
              </w:rPr>
              <w:t xml:space="preserve">policy_status</w:t>
            </w:r>
          </w:p>
        </w:tc>
        <w:tc>
          <w:tcPr>
            <w:tcW w:w="1518" w:type="dxa"/>
          </w:tcPr>
          <w:p>
            <w:pPr>
              <w:pStyle w:val="Compact"/>
            </w:pPr>
            <w:r>
              <w:t xml:space="preserve">string</w:t>
            </w:r>
          </w:p>
        </w:tc>
        <w:tc>
          <w:tcPr>
            <w:tcW w:w="1068" w:type="dxa"/>
          </w:tcPr>
          <w:p>
            <w:pPr>
              <w:pStyle w:val="Compact"/>
            </w:pPr>
            <w:r>
              <w:t xml:space="preserve">enum</w:t>
            </w:r>
          </w:p>
        </w:tc>
        <w:tc>
          <w:tcPr>
            <w:tcW w:w="2287" w:type="dxa"/>
          </w:tcPr>
          <w:p>
            <w:pPr>
              <w:pStyle w:val="Compact"/>
            </w:pPr>
            <w:r>
              <w:t xml:space="preserve">Active · Expired · Cancelled</w:t>
            </w:r>
          </w:p>
        </w:tc>
        <w:tc>
          <w:tcPr>
            <w:tcW w:w="1953" w:type="dxa"/>
          </w:tcPr>
          <w:p>
            <w:pPr>
              <w:pStyle w:val="Compact"/>
            </w:pPr>
            <w:r>
              <w:t xml:space="preserve">Administrative. Never decides coverage on its own</w:t>
            </w:r>
          </w:p>
        </w:tc>
      </w:tr>
      <w:tr>
        <w:tc>
          <w:tcPr>
            <w:tcW w:w="3254" w:type="dxa"/>
          </w:tcPr>
          <w:p>
            <w:pPr>
              <w:pStyle w:val="Compact"/>
            </w:pPr>
            <w:r>
              <w:rPr>
                <w:rStyle w:val="VerbatimChar"/>
              </w:rPr>
              <w:t xml:space="preserve">policy_start</w:t>
            </w:r>
            <w:r>
              <w:t xml:space="preserve">,</w:t>
            </w:r>
            <w:r>
              <w:t xml:space="preserve"> </w:t>
            </w:r>
            <w:r>
              <w:rPr>
                <w:rStyle w:val="VerbatimChar"/>
              </w:rPr>
              <w:t xml:space="preserve">policy_end</w:t>
            </w:r>
          </w:p>
        </w:tc>
        <w:tc>
          <w:tcPr>
            <w:tcW w:w="1518" w:type="dxa"/>
          </w:tcPr>
          <w:p>
            <w:pPr>
              <w:pStyle w:val="Compact"/>
            </w:pPr>
            <w:r>
              <w:t xml:space="preserve">string</w:t>
            </w:r>
          </w:p>
        </w:tc>
        <w:tc>
          <w:tcPr>
            <w:tcW w:w="1068" w:type="dxa"/>
          </w:tcPr>
          <w:p>
            <w:pPr>
              <w:pStyle w:val="Compact"/>
            </w:pPr>
            <w:r>
              <w:t xml:space="preserve">date</w:t>
            </w:r>
          </w:p>
        </w:tc>
        <w:tc>
          <w:tcPr>
            <w:tcW w:w="2287" w:type="dxa"/>
          </w:tcPr>
          <w:p>
            <w:pPr>
              <w:pStyle w:val="Compact"/>
            </w:pPr>
            <w:r>
              <w:t xml:space="preserve">start &lt; end (I-7)</w:t>
            </w:r>
          </w:p>
        </w:tc>
        <w:tc>
          <w:tcPr>
            <w:tcW w:w="1953" w:type="dxa"/>
          </w:tcPr>
          <w:p>
            <w:pPr>
              <w:pStyle w:val="Compact"/>
            </w:pPr>
          </w:p>
        </w:tc>
      </w:tr>
    </w:tbl>
    <w:bookmarkEnd w:id="66"/>
    <w:bookmarkStart w:id="67" w:name="derived-field-loss_category-closes-q-03"/>
    <w:p>
      <w:pPr>
        <w:pStyle w:val="Heading2"/>
      </w:pPr>
      <w:r>
        <w:t xml:space="preserve">4. Derived field:</w:t>
      </w:r>
      <w:r>
        <w:t xml:space="preserve"> </w:t>
      </w:r>
      <w:r>
        <w:rPr>
          <w:rStyle w:val="VerbatimChar"/>
        </w:rPr>
        <w:t xml:space="preserve">loss_category</w:t>
      </w:r>
      <w:r>
        <w:t xml:space="preserve"> </w:t>
      </w:r>
      <w:r>
        <w:t xml:space="preserve">(closes Q-03)</w:t>
      </w:r>
    </w:p>
    <w:p>
      <w:pPr>
        <w:pStyle w:val="FirstParagraph"/>
      </w:pPr>
      <w:r>
        <w:t xml:space="preserve">The deterministic layer picks the deductible by loss category: collision losses use the collision deductible and comprehensive losses use the comprehensive deductible (CLS-DED-004). The mapping comes from CLS-COMP-002 and was confirmed by Grace Liu on 2026-10-06.</w:t>
      </w:r>
    </w:p>
    <w:tbl>
      <w:tblPr>
        <w:tblStyle w:val="Table"/>
        <w:tblW w:type="dxa" w:w="10080"/>
        <w:tblLayout w:type="fixed"/>
        <w:tblLook w:firstRow="1" w:lastRow="0" w:firstColumn="0" w:lastColumn="0" w:noHBand="0" w:noVBand="0" w:val="0020"/>
      </w:tblPr>
      <w:tblGrid>
        <w:gridCol w:w="1823"/>
        <w:gridCol w:w="8257"/>
      </w:tblGrid>
      <w:tr>
        <w:trPr>
          <w:tblHeader w:val="on"/>
        </w:trPr>
        <w:tc>
          <w:tcPr>
            <w:tcW w:w="1823" w:type="dxa"/>
          </w:tcPr>
          <w:p>
            <w:pPr>
              <w:pStyle w:val="Compact"/>
            </w:pPr>
            <w:r>
              <w:rPr>
                <w:rStyle w:val="VerbatimChar"/>
              </w:rPr>
              <w:t xml:space="preserve">loss_category</w:t>
            </w:r>
          </w:p>
        </w:tc>
        <w:tc>
          <w:tcPr>
            <w:tcW w:w="8257" w:type="dxa"/>
          </w:tcPr>
          <w:p>
            <w:pPr>
              <w:pStyle w:val="Compact"/>
            </w:pPr>
            <w:r>
              <w:rPr>
                <w:rStyle w:val="VerbatimChar"/>
              </w:rPr>
              <w:t xml:space="preserve">incident_type</w:t>
            </w:r>
            <w:r>
              <w:t xml:space="preserve"> </w:t>
            </w:r>
            <w:r>
              <w:t xml:space="preserve">values (export + W1 synthetic cases)</w:t>
            </w:r>
          </w:p>
        </w:tc>
      </w:tr>
      <w:tr>
        <w:tc>
          <w:tcPr>
            <w:tcW w:w="1823" w:type="dxa"/>
          </w:tcPr>
          <w:p>
            <w:pPr>
              <w:pStyle w:val="Compact"/>
            </w:pPr>
            <w:r>
              <w:rPr>
                <w:rStyle w:val="VerbatimChar"/>
              </w:rPr>
              <w:t xml:space="preserve">collision</w:t>
            </w:r>
          </w:p>
        </w:tc>
        <w:tc>
          <w:tcPr>
            <w:tcW w:w="8257" w:type="dxa"/>
          </w:tcPr>
          <w:p>
            <w:pPr>
              <w:pStyle w:val="Compact"/>
            </w:pPr>
            <w:r>
              <w:t xml:space="preserve">Backing accident · Hit and run · Rear-end collision · Low-speed collision · Multi-vehicle pileup · Parking lot collision · Pothole damage (CLS-COMP-002:</w:t>
            </w:r>
            <w:r>
              <w:t xml:space="preserve"> </w:t>
            </w:r>
            <w:r>
              <w:t xml:space="preserve">“treated as collision”</w:t>
            </w:r>
            <w:r>
              <w:t xml:space="preserve">) · Rear-end on highway · Rollover · Side-swipe · Single-vehicle accident · T-bone collision · Underride accident</w:t>
            </w:r>
          </w:p>
        </w:tc>
      </w:tr>
      <w:tr>
        <w:tc>
          <w:tcPr>
            <w:tcW w:w="1823" w:type="dxa"/>
          </w:tcPr>
          <w:p>
            <w:pPr>
              <w:pStyle w:val="Compact"/>
            </w:pPr>
            <w:r>
              <w:rPr>
                <w:rStyle w:val="VerbatimChar"/>
              </w:rPr>
              <w:t xml:space="preserve">comprehensive</w:t>
            </w:r>
          </w:p>
        </w:tc>
        <w:tc>
          <w:tcPr>
            <w:tcW w:w="8257" w:type="dxa"/>
          </w:tcPr>
          <w:p>
            <w:pPr>
              <w:pStyle w:val="Compact"/>
            </w:pPr>
            <w:r>
              <w:t xml:space="preserve">Animal strike · Carjacking · Flood damage · Garage fire · Glass breakage · Hail damage · Storm damage · Theft recovery · Vandalism</w:t>
            </w:r>
          </w:p>
        </w:tc>
      </w:tr>
    </w:tbl>
    <w:p>
      <w:pPr>
        <w:pStyle w:val="BodyText"/>
      </w:pPr>
      <w:r>
        <w:t xml:space="preserve">An</w:t>
      </w:r>
      <w:r>
        <w:t xml:space="preserve"> </w:t>
      </w:r>
      <w:r>
        <w:rPr>
          <w:rStyle w:val="VerbatimChar"/>
        </w:rPr>
        <w:t xml:space="preserve">incident_type</w:t>
      </w:r>
      <w:r>
        <w:t xml:space="preserve"> </w:t>
      </w:r>
      <w:r>
        <w:t xml:space="preserve">that isn’t in this table maps to</w:t>
      </w:r>
      <w:r>
        <w:t xml:space="preserve"> </w:t>
      </w:r>
      <w:r>
        <w:rPr>
          <w:rStyle w:val="VerbatimChar"/>
        </w:rPr>
        <w:t xml:space="preserve">unknown</w:t>
      </w:r>
      <w:r>
        <w:t xml:space="preserve">, which forces</w:t>
      </w:r>
      <w:r>
        <w:t xml:space="preserve"> </w:t>
      </w:r>
      <w:r>
        <w:rPr>
          <w:rStyle w:val="VerbatimChar"/>
        </w:rPr>
        <w:t xml:space="preserve">flag_review</w:t>
      </w:r>
      <w:r>
        <w:t xml:space="preserve">. The code never guesses a deductible.</w:t>
      </w:r>
    </w:p>
    <w:bookmarkEnd w:id="67"/>
    <w:bookmarkStart w:id="68" w:name="cross-system-invariants"/>
    <w:p>
      <w:pPr>
        <w:pStyle w:val="Heading2"/>
      </w:pPr>
      <w:r>
        <w:t xml:space="preserve">5. Cross-system invariants</w:t>
      </w:r>
    </w:p>
    <w:p>
      <w:pPr>
        <w:pStyle w:val="FirstParagraph"/>
      </w:pPr>
      <w:r>
        <w:rPr>
          <w:rStyle w:val="VerbatimChar"/>
        </w:rPr>
        <w:t xml:space="preserve">build.py</w:t>
      </w:r>
      <w:r>
        <w:t xml:space="preserve"> </w:t>
      </w:r>
      <w:r>
        <w:t xml:space="preserve">checks every invariant on the fixtures. Synthetic records generated for the 150-case suite must pass them too, unless a case breaks one on purpose and says so in its</w:t>
      </w:r>
      <w:r>
        <w:t xml:space="preserve"> </w:t>
      </w:r>
      <w:r>
        <w:rPr>
          <w:rStyle w:val="VerbatimChar"/>
        </w:rPr>
        <w:t xml:space="preserve">notes</w:t>
      </w:r>
      <w:r>
        <w:t xml:space="preserve">.</w:t>
      </w:r>
    </w:p>
    <w:tbl>
      <w:tblPr>
        <w:tblStyle w:val="Table"/>
        <w:tblW w:type="dxa" w:w="10080"/>
        <w:tblLayout w:type="fixed"/>
        <w:tblLook w:firstRow="1" w:lastRow="0" w:firstColumn="0" w:lastColumn="0" w:noHBand="0" w:noVBand="0" w:val="0020"/>
      </w:tblPr>
      <w:tblGrid>
        <w:gridCol w:w="978"/>
        <w:gridCol w:w="9102"/>
      </w:tblGrid>
      <w:tr>
        <w:trPr>
          <w:tblHeader w:val="on"/>
        </w:trPr>
        <w:tc>
          <w:tcPr>
            <w:tcW w:w="978" w:type="dxa"/>
          </w:tcPr>
          <w:p>
            <w:pPr>
              <w:pStyle w:val="Compact"/>
            </w:pPr>
            <w:r>
              <w:t xml:space="preserve">ID</w:t>
            </w:r>
          </w:p>
        </w:tc>
        <w:tc>
          <w:tcPr>
            <w:tcW w:w="9102" w:type="dxa"/>
          </w:tcPr>
          <w:p>
            <w:pPr>
              <w:pStyle w:val="Compact"/>
            </w:pPr>
            <w:r>
              <w:t xml:space="preserve">Invariant</w:t>
            </w:r>
          </w:p>
        </w:tc>
      </w:tr>
      <w:tr>
        <w:tc>
          <w:tcPr>
            <w:tcW w:w="978" w:type="dxa"/>
          </w:tcPr>
          <w:p>
            <w:pPr>
              <w:pStyle w:val="Compact"/>
            </w:pPr>
            <w:r>
              <w:t xml:space="preserve">I-1</w:t>
            </w:r>
          </w:p>
        </w:tc>
        <w:tc>
          <w:tcPr>
            <w:tcW w:w="9102" w:type="dxa"/>
          </w:tcPr>
          <w:p>
            <w:pPr>
              <w:pStyle w:val="Compact"/>
            </w:pPr>
            <w:r>
              <w:t xml:space="preserve">Every claim’s</w:t>
            </w:r>
            <w:r>
              <w:t xml:space="preserve"> </w:t>
            </w:r>
            <w:r>
              <w:rPr>
                <w:rStyle w:val="VerbatimChar"/>
              </w:rPr>
              <w:t xml:space="preserve">policy_id</w:t>
            </w:r>
            <w:r>
              <w:t xml:space="preserve"> </w:t>
            </w:r>
            <w:r>
              <w:t xml:space="preserve">exists in the policy table</w:t>
            </w:r>
          </w:p>
        </w:tc>
      </w:tr>
      <w:tr>
        <w:tc>
          <w:tcPr>
            <w:tcW w:w="978" w:type="dxa"/>
          </w:tcPr>
          <w:p>
            <w:pPr>
              <w:pStyle w:val="Compact"/>
            </w:pPr>
            <w:r>
              <w:t xml:space="preserve">I-2</w:t>
            </w:r>
          </w:p>
        </w:tc>
        <w:tc>
          <w:tcPr>
            <w:tcW w:w="9102" w:type="dxa"/>
          </w:tcPr>
          <w:p>
            <w:pPr>
              <w:pStyle w:val="Compact"/>
            </w:pPr>
            <w:r>
              <w:t xml:space="preserve">Claim</w:t>
            </w:r>
            <w:r>
              <w:t xml:space="preserve"> </w:t>
            </w:r>
            <w:r>
              <w:rPr>
                <w:rStyle w:val="VerbatimChar"/>
              </w:rPr>
              <w:t xml:space="preserve">vehicle_vin</w:t>
            </w:r>
            <w:r>
              <w:t xml:space="preserve"> </w:t>
            </w:r>
            <w:r>
              <w:t xml:space="preserve">= policy</w:t>
            </w:r>
            <w:r>
              <w:t xml:space="preserve"> </w:t>
            </w:r>
            <w:r>
              <w:rPr>
                <w:rStyle w:val="VerbatimChar"/>
              </w:rPr>
              <w:t xml:space="preserve">vehicle_vin</w:t>
            </w:r>
          </w:p>
        </w:tc>
      </w:tr>
      <w:tr>
        <w:tc>
          <w:tcPr>
            <w:tcW w:w="978" w:type="dxa"/>
          </w:tcPr>
          <w:p>
            <w:pPr>
              <w:pStyle w:val="Compact"/>
            </w:pPr>
            <w:r>
              <w:t xml:space="preserve">I-3</w:t>
            </w:r>
          </w:p>
        </w:tc>
        <w:tc>
          <w:tcPr>
            <w:tcW w:w="9102" w:type="dxa"/>
          </w:tcPr>
          <w:p>
            <w:pPr>
              <w:pStyle w:val="Compact"/>
            </w:pPr>
            <w:r>
              <w:t xml:space="preserve">Claim</w:t>
            </w:r>
            <w:r>
              <w:t xml:space="preserve"> </w:t>
            </w:r>
            <w:r>
              <w:rPr>
                <w:rStyle w:val="VerbatimChar"/>
              </w:rPr>
              <w:t xml:space="preserve">vehicle_acv_usd</w:t>
            </w:r>
            <w:r>
              <w:t xml:space="preserve"> </w:t>
            </w:r>
            <w:r>
              <w:t xml:space="preserve">= policy</w:t>
            </w:r>
            <w:r>
              <w:t xml:space="preserve"> </w:t>
            </w:r>
            <w:r>
              <w:rPr>
                <w:rStyle w:val="VerbatimChar"/>
              </w:rPr>
              <w:t xml:space="preserve">vehicle_acv_usd</w:t>
            </w:r>
          </w:p>
        </w:tc>
      </w:tr>
      <w:tr>
        <w:tc>
          <w:tcPr>
            <w:tcW w:w="978" w:type="dxa"/>
          </w:tcPr>
          <w:p>
            <w:pPr>
              <w:pStyle w:val="Compact"/>
            </w:pPr>
            <w:r>
              <w:t xml:space="preserve">I-4</w:t>
            </w:r>
          </w:p>
        </w:tc>
        <w:tc>
          <w:tcPr>
            <w:tcW w:w="9102" w:type="dxa"/>
          </w:tcPr>
          <w:p>
            <w:pPr>
              <w:pStyle w:val="Compact"/>
            </w:pPr>
            <w:r>
              <w:t xml:space="preserve">Every document’s</w:t>
            </w:r>
            <w:r>
              <w:t xml:space="preserve"> </w:t>
            </w:r>
            <w:r>
              <w:rPr>
                <w:rStyle w:val="VerbatimChar"/>
              </w:rPr>
              <w:t xml:space="preserve">claim_id</w:t>
            </w:r>
            <w:r>
              <w:t xml:space="preserve"> </w:t>
            </w:r>
            <w:r>
              <w:t xml:space="preserve">exists in the claim table</w:t>
            </w:r>
          </w:p>
        </w:tc>
      </w:tr>
      <w:tr>
        <w:tc>
          <w:tcPr>
            <w:tcW w:w="978" w:type="dxa"/>
          </w:tcPr>
          <w:p>
            <w:pPr>
              <w:pStyle w:val="Compact"/>
            </w:pPr>
            <w:r>
              <w:t xml:space="preserve">I-5</w:t>
            </w:r>
          </w:p>
        </w:tc>
        <w:tc>
          <w:tcPr>
            <w:tcW w:w="9102" w:type="dxa"/>
          </w:tcPr>
          <w:p>
            <w:pPr>
              <w:pStyle w:val="Compact"/>
            </w:pPr>
            <w:r>
              <w:t xml:space="preserve">No document is uploaded before its claim’s incident date</w:t>
            </w:r>
          </w:p>
        </w:tc>
      </w:tr>
      <w:tr>
        <w:tc>
          <w:tcPr>
            <w:tcW w:w="978" w:type="dxa"/>
          </w:tcPr>
          <w:p>
            <w:pPr>
              <w:pStyle w:val="Compact"/>
            </w:pPr>
            <w:r>
              <w:t xml:space="preserve">I-6</w:t>
            </w:r>
          </w:p>
        </w:tc>
        <w:tc>
          <w:tcPr>
            <w:tcW w:w="9102" w:type="dxa"/>
          </w:tcPr>
          <w:p>
            <w:pPr>
              <w:pStyle w:val="Compact"/>
            </w:pPr>
            <w:r>
              <w:t xml:space="preserve">Liability Only ⇒ no collision or comprehensive coverage, and deductibles are null</w:t>
            </w:r>
          </w:p>
        </w:tc>
      </w:tr>
      <w:tr>
        <w:tc>
          <w:tcPr>
            <w:tcW w:w="978" w:type="dxa"/>
          </w:tcPr>
          <w:p>
            <w:pPr>
              <w:pStyle w:val="Compact"/>
            </w:pPr>
            <w:r>
              <w:t xml:space="preserve">I-7</w:t>
            </w:r>
          </w:p>
        </w:tc>
        <w:tc>
          <w:tcPr>
            <w:tcW w:w="9102" w:type="dxa"/>
          </w:tcPr>
          <w:p>
            <w:pPr>
              <w:pStyle w:val="Compact"/>
            </w:pPr>
            <w:r>
              <w:rPr>
                <w:rStyle w:val="VerbatimChar"/>
              </w:rPr>
              <w:t xml:space="preserve">policy_start</w:t>
            </w:r>
            <w:r>
              <w:t xml:space="preserve"> </w:t>
            </w:r>
            <w:r>
              <w:t xml:space="preserve">&lt;</w:t>
            </w:r>
            <w:r>
              <w:t xml:space="preserve"> </w:t>
            </w:r>
            <w:r>
              <w:rPr>
                <w:rStyle w:val="VerbatimChar"/>
              </w:rPr>
              <w:t xml:space="preserve">policy_end</w:t>
            </w:r>
          </w:p>
        </w:tc>
      </w:tr>
      <w:tr>
        <w:tc>
          <w:tcPr>
            <w:tcW w:w="978" w:type="dxa"/>
          </w:tcPr>
          <w:p>
            <w:pPr>
              <w:pStyle w:val="Compact"/>
            </w:pPr>
            <w:r>
              <w:t xml:space="preserve">I-8</w:t>
            </w:r>
          </w:p>
        </w:tc>
        <w:tc>
          <w:tcPr>
            <w:tcW w:w="9102" w:type="dxa"/>
          </w:tcPr>
          <w:p>
            <w:pPr>
              <w:pStyle w:val="Compact"/>
            </w:pPr>
            <w:r>
              <w:t xml:space="preserve">Every claim has exactly one FNOL_FORM</w:t>
            </w:r>
          </w:p>
        </w:tc>
      </w:tr>
      <w:tr>
        <w:tc>
          <w:tcPr>
            <w:tcW w:w="978" w:type="dxa"/>
          </w:tcPr>
          <w:p>
            <w:pPr>
              <w:pStyle w:val="Compact"/>
            </w:pPr>
            <w:r>
              <w:t xml:space="preserve">I-9</w:t>
            </w:r>
          </w:p>
        </w:tc>
        <w:tc>
          <w:tcPr>
            <w:tcW w:w="9102" w:type="dxa"/>
          </w:tcPr>
          <w:p>
            <w:pPr>
              <w:pStyle w:val="Compact"/>
            </w:pPr>
            <w:r>
              <w:t xml:space="preserve">Every</w:t>
            </w:r>
            <w:r>
              <w:t xml:space="preserve"> </w:t>
            </w:r>
            <w:r>
              <w:rPr>
                <w:rStyle w:val="VerbatimChar"/>
              </w:rPr>
              <w:t xml:space="preserve">incident_type</w:t>
            </w:r>
            <w:r>
              <w:t xml:space="preserve"> </w:t>
            </w:r>
            <w:r>
              <w:t xml:space="preserve">maps to a</w:t>
            </w:r>
            <w:r>
              <w:t xml:space="preserve"> </w:t>
            </w:r>
            <w:r>
              <w:rPr>
                <w:rStyle w:val="VerbatimChar"/>
              </w:rPr>
              <w:t xml:space="preserve">loss_category</w:t>
            </w:r>
          </w:p>
        </w:tc>
      </w:tr>
      <w:tr>
        <w:tc>
          <w:tcPr>
            <w:tcW w:w="978" w:type="dxa"/>
          </w:tcPr>
          <w:p>
            <w:pPr>
              <w:pStyle w:val="Compact"/>
            </w:pPr>
            <w:r>
              <w:t xml:space="preserve">I-10</w:t>
            </w:r>
          </w:p>
        </w:tc>
        <w:tc>
          <w:tcPr>
            <w:tcW w:w="9102" w:type="dxa"/>
          </w:tcPr>
          <w:p>
            <w:pPr>
              <w:pStyle w:val="Compact"/>
            </w:pPr>
            <w:r>
              <w:rPr>
                <w:rStyle w:val="VerbatimChar"/>
              </w:rPr>
              <w:t xml:space="preserve">assigned_adjuster</w:t>
            </w:r>
            <w:r>
              <w:t xml:space="preserve"> </w:t>
            </w:r>
            <w:r>
              <w:t xml:space="preserve">and</w:t>
            </w:r>
            <w:r>
              <w:t xml:space="preserve"> </w:t>
            </w:r>
            <w:r>
              <w:rPr>
                <w:rStyle w:val="VerbatimChar"/>
              </w:rPr>
              <w:t xml:space="preserve">uploaded_by</w:t>
            </w:r>
            <w:r>
              <w:t xml:space="preserve"> </w:t>
            </w:r>
            <w:r>
              <w:t xml:space="preserve">are known users in the identity pool</w:t>
            </w:r>
          </w:p>
        </w:tc>
      </w:tr>
    </w:tbl>
    <w:bookmarkEnd w:id="68"/>
    <w:bookmarkStart w:id="69" w:name="X097244546d2cb3a8cd2a43082572b0ed7f72059"/>
    <w:p>
      <w:pPr>
        <w:pStyle w:val="Heading2"/>
      </w:pPr>
      <w:r>
        <w:t xml:space="preserve">6. Rules for generating more synthetic cases (W3 → 150 in W5)</w:t>
      </w:r>
    </w:p>
    <w:p>
      <w:pPr>
        <w:pStyle w:val="Compact"/>
        <w:numPr>
          <w:ilvl w:val="0"/>
          <w:numId w:val="1010"/>
        </w:numPr>
      </w:pPr>
      <w:r>
        <w:rPr>
          <w:b/>
          <w:bCs/>
        </w:rPr>
        <w:t xml:space="preserve">Start from a real fixture and change one thing.</w:t>
      </w:r>
      <w:r>
        <w:t xml:space="preserve"> </w:t>
      </w:r>
      <w:r>
        <w:t xml:space="preserve">Each generated case names its parent claim and the single field it changes, e.g. </w:t>
      </w:r>
      <w:r>
        <w:rPr>
          <w:rStyle w:val="VerbatimChar"/>
        </w:rPr>
        <w:t xml:space="preserve">incident_date</w:t>
      </w:r>
      <w:r>
        <w:t xml:space="preserve"> </w:t>
      </w:r>
      <w:r>
        <w:t xml:space="preserve">moved one day past</w:t>
      </w:r>
      <w:r>
        <w:t xml:space="preserve"> </w:t>
      </w:r>
      <w:r>
        <w:rPr>
          <w:rStyle w:val="VerbatimChar"/>
        </w:rPr>
        <w:t xml:space="preserve">policy_end</w:t>
      </w:r>
      <w:r>
        <w:t xml:space="preserve">. When the case fails, the cause is obvious.</w:t>
      </w:r>
    </w:p>
    <w:p>
      <w:pPr>
        <w:pStyle w:val="Compact"/>
        <w:numPr>
          <w:ilvl w:val="0"/>
          <w:numId w:val="1010"/>
        </w:numPr>
      </w:pPr>
      <w:r>
        <w:rPr>
          <w:b/>
          <w:bCs/>
        </w:rPr>
        <w:t xml:space="preserve">Hit the thresholds exactly.</w:t>
      </w:r>
      <w:r>
        <w:t xml:space="preserve"> </w:t>
      </w:r>
      <w:r>
        <w:t xml:space="preserve">Fraud scores 0.69 / 0.70 / 0.71, TL ratios 0.74 / 0.75 / 0.76, net payable $24,999 / $25,000 / $25,001, incident on</w:t>
      </w:r>
      <w:r>
        <w:t xml:space="preserve"> </w:t>
      </w:r>
      <w:r>
        <w:rPr>
          <w:rStyle w:val="VerbatimChar"/>
        </w:rPr>
        <w:t xml:space="preserve">policy_end</w:t>
      </w:r>
      <w:r>
        <w:t xml:space="preserve"> </w:t>
      </w:r>
      <w:r>
        <w:t xml:space="preserve">(in force) and on</w:t>
      </w:r>
      <w:r>
        <w:t xml:space="preserve"> </w:t>
      </w:r>
      <w:r>
        <w:rPr>
          <w:rStyle w:val="VerbatimChar"/>
        </w:rPr>
        <w:t xml:space="preserve">policy_end + 1</w:t>
      </w:r>
      <w:r>
        <w:t xml:space="preserve">.</w:t>
      </w:r>
    </w:p>
    <w:p>
      <w:pPr>
        <w:pStyle w:val="Compact"/>
        <w:numPr>
          <w:ilvl w:val="0"/>
          <w:numId w:val="1010"/>
        </w:numPr>
      </w:pPr>
      <w:r>
        <w:rPr>
          <w:b/>
          <w:bCs/>
        </w:rPr>
        <w:t xml:space="preserve">Untrusted text goes only where text lives.</w:t>
      </w:r>
      <w:r>
        <w:t xml:space="preserve"> </w:t>
      </w:r>
      <w:r>
        <w:t xml:space="preserve">Prompt-injection payloads go in</w:t>
      </w:r>
      <w:r>
        <w:t xml:space="preserve"> </w:t>
      </w:r>
      <w:r>
        <w:rPr>
          <w:rStyle w:val="VerbatimChar"/>
        </w:rPr>
        <w:t xml:space="preserve">incident_description</w:t>
      </w:r>
      <w:r>
        <w:t xml:space="preserve">,</w:t>
      </w:r>
      <w:r>
        <w:t xml:space="preserve"> </w:t>
      </w:r>
      <w:r>
        <w:rPr>
          <w:rStyle w:val="VerbatimChar"/>
        </w:rPr>
        <w:t xml:space="preserve">damage_description</w:t>
      </w:r>
      <w:r>
        <w:t xml:space="preserve"> </w:t>
      </w:r>
      <w:r>
        <w:t xml:space="preserve">and</w:t>
      </w:r>
      <w:r>
        <w:t xml:space="preserve"> </w:t>
      </w:r>
      <w:r>
        <w:rPr>
          <w:rStyle w:val="VerbatimChar"/>
        </w:rPr>
        <w:t xml:space="preserve">ocr_text</w:t>
      </w:r>
      <w:r>
        <w:t xml:space="preserve">, the fields an attacker could actually control.</w:t>
      </w:r>
    </w:p>
    <w:p>
      <w:pPr>
        <w:pStyle w:val="Compact"/>
        <w:numPr>
          <w:ilvl w:val="0"/>
          <w:numId w:val="1010"/>
        </w:numPr>
      </w:pPr>
      <w:r>
        <w:rPr>
          <w:b/>
          <w:bCs/>
        </w:rPr>
        <w:t xml:space="preserve">No realistic PII.</w:t>
      </w:r>
      <w:r>
        <w:t xml:space="preserve"> </w:t>
      </w:r>
      <w:r>
        <w:t xml:space="preserve">VINs are syntactically valid but synthetic. There are no names in any generated record (the policy contract has no name field anyway).</w:t>
      </w:r>
    </w:p>
    <w:p>
      <w:pPr>
        <w:pStyle w:val="Compact"/>
        <w:numPr>
          <w:ilvl w:val="0"/>
          <w:numId w:val="1010"/>
        </w:numPr>
      </w:pPr>
      <w:r>
        <w:rPr>
          <w:b/>
          <w:bCs/>
        </w:rPr>
        <w:t xml:space="preserve">Labels belong to Bob.</w:t>
      </w:r>
      <w:r>
        <w:t xml:space="preserve"> </w:t>
      </w:r>
      <w:r>
        <w:t xml:space="preserve">The generator proposes the expected outcome, and Bob Reyes confirms it before the case enters the gate (DEC-006).</w:t>
      </w:r>
    </w:p>
    <w:bookmarkEnd w:id="69"/>
    <w:bookmarkEnd w:id="70"/>
    <w:bookmarkStart w:id="73" w:name="aws-setup-and-evidence"/>
    <w:p>
      <w:pPr>
        <w:pStyle w:val="Heading1"/>
      </w:pPr>
      <w:r>
        <w:t xml:space="preserve">7 · AWS setup and evidence</w:t>
      </w:r>
    </w:p>
    <w:p>
      <w:pPr>
        <w:pStyle w:val="FirstParagraph"/>
      </w:pPr>
      <w:r>
        <w:t xml:space="preserve">The curriculum asks for</w:t>
      </w:r>
      <w:r>
        <w:t xml:space="preserve"> </w:t>
      </w:r>
      <w:r>
        <w:t xml:space="preserve">“S3 buckets, Cognito user pool and ECR repos. Three CLI commands. Confirm everything is wired before next week.”</w:t>
      </w:r>
      <w:r>
        <w:t xml:space="preserve"> </w:t>
      </w:r>
      <w:r>
        <w:t xml:space="preserve">The model solution goes slightly further: each command is idempotent, the bucket is private and encrypted, and the evidence is captured by a read-only script rather than by screenshots alone.</w:t>
      </w:r>
    </w:p>
    <w:p>
      <w:pPr>
        <w:pStyle w:val="BodyText"/>
      </w:pPr>
      <w:r>
        <w:t xml:space="preserve">Scripts:</w:t>
      </w:r>
      <w:r>
        <w:t xml:space="preserve"> </w:t>
      </w:r>
      <w:r>
        <w:rPr>
          <w:rStyle w:val="VerbatimChar"/>
        </w:rPr>
        <w:t xml:space="preserve">../aws/aws_setup.sh</w:t>
      </w:r>
      <w:r>
        <w:t xml:space="preserve"> </w:t>
      </w:r>
      <w:r>
        <w:t xml:space="preserve">(creates resources, safe to re-run) ·</w:t>
      </w:r>
      <w:r>
        <w:t xml:space="preserve"> </w:t>
      </w:r>
      <w:r>
        <w:rPr>
          <w:rStyle w:val="VerbatimChar"/>
        </w:rPr>
        <w:t xml:space="preserve">../aws/aws_evidence.sh</w:t>
      </w:r>
      <w:r>
        <w:t xml:space="preserve"> </w:t>
      </w:r>
      <w:r>
        <w:t xml:space="preserve">(read-only, writes</w:t>
      </w:r>
      <w:r>
        <w:t xml:space="preserve"> </w:t>
      </w:r>
      <w:r>
        <w:rPr>
          <w:rStyle w:val="VerbatimChar"/>
        </w:rPr>
        <w:t xml:space="preserve">aws/evidence/&lt;timestamp&gt;/</w:t>
      </w:r>
      <w:r>
        <w:t xml:space="preserve">)</w:t>
      </w:r>
    </w:p>
    <w:bookmarkStart w:id="71" w:name="the-three-resources"/>
    <w:p>
      <w:pPr>
        <w:pStyle w:val="Heading2"/>
      </w:pPr>
      <w:r>
        <w:t xml:space="preserve">The three resources</w:t>
      </w:r>
    </w:p>
    <w:tbl>
      <w:tblPr>
        <w:tblStyle w:val="Table"/>
        <w:tblW w:type="dxa" w:w="10080"/>
        <w:tblLayout w:type="fixed"/>
        <w:tblLook w:firstRow="1" w:lastRow="0" w:firstColumn="0" w:lastColumn="0" w:noHBand="0" w:noVBand="0" w:val="0020"/>
      </w:tblPr>
      <w:tblGrid>
        <w:gridCol w:w="1289"/>
        <w:gridCol w:w="4061"/>
        <w:gridCol w:w="2734"/>
        <w:gridCol w:w="1996"/>
      </w:tblGrid>
      <w:tr>
        <w:trPr>
          <w:tblHeader w:val="on"/>
        </w:trPr>
        <w:tc>
          <w:tcPr>
            <w:tcW w:w="1289" w:type="dxa"/>
          </w:tcPr>
          <w:p>
            <w:pPr>
              <w:pStyle w:val="Compact"/>
            </w:pPr>
            <w:r>
              <w:t xml:space="preserve">Resource</w:t>
            </w:r>
          </w:p>
        </w:tc>
        <w:tc>
          <w:tcPr>
            <w:tcW w:w="4061" w:type="dxa"/>
          </w:tcPr>
          <w:p>
            <w:pPr>
              <w:pStyle w:val="Compact"/>
            </w:pPr>
            <w:r>
              <w:t xml:space="preserve">Name</w:t>
            </w:r>
          </w:p>
        </w:tc>
        <w:tc>
          <w:tcPr>
            <w:tcW w:w="2734" w:type="dxa"/>
          </w:tcPr>
          <w:p>
            <w:pPr>
              <w:pStyle w:val="Compact"/>
            </w:pPr>
            <w:r>
              <w:t xml:space="preserve">Why it exists now</w:t>
            </w:r>
          </w:p>
        </w:tc>
        <w:tc>
          <w:tcPr>
            <w:tcW w:w="1996" w:type="dxa"/>
          </w:tcPr>
          <w:p>
            <w:pPr>
              <w:pStyle w:val="Compact"/>
            </w:pPr>
            <w:r>
              <w:t xml:space="preserve">Used in</w:t>
            </w:r>
          </w:p>
        </w:tc>
      </w:tr>
      <w:tr>
        <w:tc>
          <w:tcPr>
            <w:tcW w:w="1289" w:type="dxa"/>
          </w:tcPr>
          <w:p>
            <w:pPr>
              <w:pStyle w:val="Compact"/>
            </w:pPr>
            <w:r>
              <w:t xml:space="preserve">S3 bucket</w:t>
            </w:r>
          </w:p>
        </w:tc>
        <w:tc>
          <w:tcPr>
            <w:tcW w:w="4061" w:type="dxa"/>
          </w:tcPr>
          <w:p>
            <w:pPr>
              <w:pStyle w:val="Compact"/>
            </w:pPr>
            <w:r>
              <w:rPr>
                <w:rStyle w:val="VerbatimChar"/>
              </w:rPr>
              <w:t xml:space="preserve">claimsense-docs-&lt;account-id&gt;</w:t>
            </w:r>
          </w:p>
        </w:tc>
        <w:tc>
          <w:tcPr>
            <w:tcW w:w="2734" w:type="dxa"/>
          </w:tcPr>
          <w:p>
            <w:pPr>
              <w:pStyle w:val="Compact"/>
            </w:pPr>
            <w:r>
              <w:t xml:space="preserve">Holds the policy corpus that retrieval loads at boot. Bucket names are global, so the course’s bare</w:t>
            </w:r>
            <w:r>
              <w:t xml:space="preserve"> </w:t>
            </w:r>
            <w:r>
              <w:rPr>
                <w:rStyle w:val="VerbatimChar"/>
              </w:rPr>
              <w:t xml:space="preserve">claimsense-docs</w:t>
            </w:r>
            <w:r>
              <w:t xml:space="preserve"> </w:t>
            </w:r>
            <w:r>
              <w:t xml:space="preserve">will collide; the account suffix makes it unique</w:t>
            </w:r>
          </w:p>
        </w:tc>
        <w:tc>
          <w:tcPr>
            <w:tcW w:w="1996" w:type="dxa"/>
          </w:tcPr>
          <w:p>
            <w:pPr>
              <w:pStyle w:val="Compact"/>
            </w:pPr>
            <w:r>
              <w:t xml:space="preserve">W3 (</w:t>
            </w:r>
            <w:r>
              <w:rPr>
                <w:rStyle w:val="VerbatimChar"/>
              </w:rPr>
              <w:t xml:space="preserve">aws s3 sync policy_corpus/ …</w:t>
            </w:r>
            <w:r>
              <w:t xml:space="preserve">), W5 runbook</w:t>
            </w:r>
            <w:r>
              <w:t xml:space="preserve"> </w:t>
            </w:r>
            <w:r>
              <w:t xml:space="preserve">“update the corpus”</w:t>
            </w:r>
          </w:p>
        </w:tc>
      </w:tr>
      <w:tr>
        <w:tc>
          <w:tcPr>
            <w:tcW w:w="1289" w:type="dxa"/>
          </w:tcPr>
          <w:p>
            <w:pPr>
              <w:pStyle w:val="Compact"/>
            </w:pPr>
            <w:r>
              <w:t xml:space="preserve">Cognito user pool</w:t>
            </w:r>
          </w:p>
        </w:tc>
        <w:tc>
          <w:tcPr>
            <w:tcW w:w="4061" w:type="dxa"/>
          </w:tcPr>
          <w:p>
            <w:pPr>
              <w:pStyle w:val="Compact"/>
            </w:pPr>
            <w:r>
              <w:rPr>
                <w:rStyle w:val="VerbatimChar"/>
              </w:rPr>
              <w:t xml:space="preserve">claimsense-users</w:t>
            </w:r>
            <w:r>
              <w:t xml:space="preserve">, groups</w:t>
            </w:r>
            <w:r>
              <w:t xml:space="preserve"> </w:t>
            </w:r>
            <w:r>
              <w:rPr>
                <w:rStyle w:val="VerbatimChar"/>
              </w:rPr>
              <w:t xml:space="preserve">adjuster</w:t>
            </w:r>
            <w:r>
              <w:t xml:space="preserve">,</w:t>
            </w:r>
            <w:r>
              <w:t xml:space="preserve"> </w:t>
            </w:r>
            <w:r>
              <w:rPr>
                <w:rStyle w:val="VerbatimChar"/>
              </w:rPr>
              <w:t xml:space="preserve">senior-adjuster</w:t>
            </w:r>
            <w:r>
              <w:t xml:space="preserve">,</w:t>
            </w:r>
            <w:r>
              <w:t xml:space="preserve"> </w:t>
            </w:r>
            <w:r>
              <w:rPr>
                <w:rStyle w:val="VerbatimChar"/>
              </w:rPr>
              <w:t xml:space="preserve">fraud-investigator</w:t>
            </w:r>
            <w:r>
              <w:t xml:space="preserve">,</w:t>
            </w:r>
            <w:r>
              <w:t xml:space="preserve"> </w:t>
            </w:r>
            <w:r>
              <w:rPr>
                <w:rStyle w:val="VerbatimChar"/>
              </w:rPr>
              <w:t xml:space="preserve">total-loss-appraiser</w:t>
            </w:r>
          </w:p>
        </w:tc>
        <w:tc>
          <w:tcPr>
            <w:tcW w:w="2734" w:type="dxa"/>
          </w:tcPr>
          <w:p>
            <w:pPr>
              <w:pStyle w:val="Compact"/>
            </w:pPr>
            <w:r>
              <w:t xml:space="preserve">The four CMS groups from discovery become the four token groups</w:t>
            </w:r>
          </w:p>
        </w:tc>
        <w:tc>
          <w:tcPr>
            <w:tcW w:w="1996" w:type="dxa"/>
          </w:tcPr>
          <w:p>
            <w:pPr>
              <w:pStyle w:val="Compact"/>
            </w:pPr>
            <w:r>
              <w:t xml:space="preserve">W4 JWT authorizer, two-user test</w:t>
            </w:r>
          </w:p>
        </w:tc>
      </w:tr>
      <w:tr>
        <w:tc>
          <w:tcPr>
            <w:tcW w:w="1289" w:type="dxa"/>
          </w:tcPr>
          <w:p>
            <w:pPr>
              <w:pStyle w:val="Compact"/>
            </w:pPr>
            <w:r>
              <w:t xml:space="preserve">ECR repository</w:t>
            </w:r>
          </w:p>
        </w:tc>
        <w:tc>
          <w:tcPr>
            <w:tcW w:w="4061" w:type="dxa"/>
          </w:tcPr>
          <w:p>
            <w:pPr>
              <w:pStyle w:val="Compact"/>
            </w:pPr>
            <w:r>
              <w:rPr>
                <w:rStyle w:val="VerbatimChar"/>
              </w:rPr>
              <w:t xml:space="preserve">claimsense/agents</w:t>
            </w:r>
            <w:r>
              <w:t xml:space="preserve"> </w:t>
            </w:r>
            <w:r>
              <w:t xml:space="preserve">(scan on push, immutable tags)</w:t>
            </w:r>
          </w:p>
        </w:tc>
        <w:tc>
          <w:tcPr>
            <w:tcW w:w="2734" w:type="dxa"/>
          </w:tcPr>
          <w:p>
            <w:pPr>
              <w:pStyle w:val="Compact"/>
            </w:pPr>
            <w:r>
              <w:t xml:space="preserve">CI pushes here only after the eval gate passes</w:t>
            </w:r>
          </w:p>
        </w:tc>
        <w:tc>
          <w:tcPr>
            <w:tcW w:w="1996" w:type="dxa"/>
          </w:tcPr>
          <w:p>
            <w:pPr>
              <w:pStyle w:val="Compact"/>
            </w:pPr>
            <w:r>
              <w:t xml:space="preserve">W3 CI, W5 rollback</w:t>
            </w:r>
          </w:p>
        </w:tc>
      </w:tr>
    </w:tbl>
    <w:p>
      <w:pPr>
        <w:pStyle w:val="BodyText"/>
      </w:pPr>
      <w:r>
        <w:t xml:space="preserve">The course’s raw commands, for comparison:</w:t>
      </w:r>
    </w:p>
    <w:p>
      <w:pPr>
        <w:pStyle w:val="SourceCode"/>
      </w:pPr>
      <w:r>
        <w:rPr>
          <w:rStyle w:val="ExtensionTok"/>
        </w:rPr>
        <w:t xml:space="preserve">aws</w:t>
      </w:r>
      <w:r>
        <w:rPr>
          <w:rStyle w:val="NormalTok"/>
        </w:rPr>
        <w:t xml:space="preserve"> s3 mb s3://claimsense-docs</w:t>
      </w:r>
      <w:r>
        <w:br/>
      </w:r>
      <w:r>
        <w:rPr>
          <w:rStyle w:val="ExtensionTok"/>
        </w:rPr>
        <w:t xml:space="preserve">aws</w:t>
      </w:r>
      <w:r>
        <w:rPr>
          <w:rStyle w:val="NormalTok"/>
        </w:rPr>
        <w:t xml:space="preserve"> cognito-idp create-user-pool </w:t>
      </w:r>
      <w:r>
        <w:rPr>
          <w:rStyle w:val="AttributeTok"/>
        </w:rPr>
        <w:t xml:space="preserve">--pool-name</w:t>
      </w:r>
      <w:r>
        <w:rPr>
          <w:rStyle w:val="NormalTok"/>
        </w:rPr>
        <w:t xml:space="preserve"> claimsense-users</w:t>
      </w:r>
      <w:r>
        <w:br/>
      </w:r>
      <w:r>
        <w:rPr>
          <w:rStyle w:val="ExtensionTok"/>
        </w:rPr>
        <w:t xml:space="preserve">aws</w:t>
      </w:r>
      <w:r>
        <w:rPr>
          <w:rStyle w:val="NormalTok"/>
        </w:rPr>
        <w:t xml:space="preserve"> ecr create-repository </w:t>
      </w:r>
      <w:r>
        <w:rPr>
          <w:rStyle w:val="AttributeTok"/>
        </w:rPr>
        <w:t xml:space="preserve">--repository-name</w:t>
      </w:r>
      <w:r>
        <w:rPr>
          <w:rStyle w:val="NormalTok"/>
        </w:rPr>
        <w:t xml:space="preserve"> claimsense/agents</w:t>
      </w:r>
    </w:p>
    <w:p>
      <w:pPr>
        <w:pStyle w:val="FirstParagraph"/>
      </w:pPr>
      <w:r>
        <w:t xml:space="preserve">The script adds four things the raw commands leave out: a unique bucket name, a public-access block and encryption on the bucket, the four groups in the pool, and scan-on-push with immutable tags on ECR.</w:t>
      </w:r>
    </w:p>
    <w:bookmarkEnd w:id="71"/>
    <w:bookmarkStart w:id="72" w:name="X2bc185173bee1abb9d86ffe0a761339cb090385"/>
    <w:p>
      <w:pPr>
        <w:pStyle w:val="Heading2"/>
      </w:pPr>
      <w:r>
        <w:t xml:space="preserve">Recorded result (reference build, lab account, us-east-1)</w:t>
      </w:r>
    </w:p>
    <w:tbl>
      <w:tblPr>
        <w:tblStyle w:val="Table"/>
        <w:tblW w:type="dxa" w:w="10080"/>
        <w:tblLayout w:type="fixed"/>
        <w:tblLook w:firstRow="1" w:lastRow="0" w:firstColumn="0" w:lastColumn="0" w:noHBand="0" w:noVBand="0" w:val="0020"/>
      </w:tblPr>
      <w:tblGrid>
        <w:gridCol w:w="1286"/>
        <w:gridCol w:w="2782"/>
        <w:gridCol w:w="6012"/>
      </w:tblGrid>
      <w:tr>
        <w:trPr>
          <w:tblHeader w:val="on"/>
        </w:trPr>
        <w:tc>
          <w:tcPr>
            <w:tcW w:w="1286" w:type="dxa"/>
          </w:tcPr>
          <w:p>
            <w:pPr>
              <w:pStyle w:val="Compact"/>
            </w:pPr>
            <w:r>
              <w:t xml:space="preserve">Resource</w:t>
            </w:r>
          </w:p>
        </w:tc>
        <w:tc>
          <w:tcPr>
            <w:tcW w:w="2782" w:type="dxa"/>
          </w:tcPr>
          <w:p>
            <w:pPr>
              <w:pStyle w:val="Compact"/>
            </w:pPr>
            <w:r>
              <w:t xml:space="preserve">Result</w:t>
            </w:r>
          </w:p>
        </w:tc>
        <w:tc>
          <w:tcPr>
            <w:tcW w:w="6012" w:type="dxa"/>
          </w:tcPr>
          <w:p>
            <w:pPr>
              <w:pStyle w:val="Compact"/>
            </w:pPr>
            <w:r>
              <w:t xml:space="preserve">Evidence</w:t>
            </w:r>
          </w:p>
        </w:tc>
      </w:tr>
      <w:tr>
        <w:tc>
          <w:tcPr>
            <w:tcW w:w="1286" w:type="dxa"/>
          </w:tcPr>
          <w:p>
            <w:pPr>
              <w:pStyle w:val="Compact"/>
            </w:pPr>
            <w:r>
              <w:t xml:space="preserve">S3</w:t>
            </w:r>
          </w:p>
        </w:tc>
        <w:tc>
          <w:tcPr>
            <w:tcW w:w="2782" w:type="dxa"/>
          </w:tcPr>
          <w:p>
            <w:pPr>
              <w:pStyle w:val="Compact"/>
            </w:pPr>
            <w:r>
              <w:t xml:space="preserve">Created</w:t>
            </w:r>
          </w:p>
        </w:tc>
        <w:tc>
          <w:tcPr>
            <w:tcW w:w="6012" w:type="dxa"/>
          </w:tcPr>
          <w:p>
            <w:pPr>
              <w:pStyle w:val="Compact"/>
            </w:pPr>
            <w:r>
              <w:rPr>
                <w:rStyle w:val="VerbatimChar"/>
              </w:rPr>
              <w:t xml:space="preserve">get-bucket-location</w:t>
            </w:r>
            <w:r>
              <w:t xml:space="preserve">,</w:t>
            </w:r>
            <w:r>
              <w:t xml:space="preserve"> </w:t>
            </w:r>
            <w:r>
              <w:rPr>
                <w:rStyle w:val="VerbatimChar"/>
              </w:rPr>
              <w:t xml:space="preserve">get-bucket-encryption</w:t>
            </w:r>
          </w:p>
        </w:tc>
      </w:tr>
      <w:tr>
        <w:tc>
          <w:tcPr>
            <w:tcW w:w="1286" w:type="dxa"/>
          </w:tcPr>
          <w:p>
            <w:pPr>
              <w:pStyle w:val="Compact"/>
            </w:pPr>
            <w:r>
              <w:t xml:space="preserve">ECR</w:t>
            </w:r>
          </w:p>
        </w:tc>
        <w:tc>
          <w:tcPr>
            <w:tcW w:w="2782" w:type="dxa"/>
          </w:tcPr>
          <w:p>
            <w:pPr>
              <w:pStyle w:val="Compact"/>
            </w:pPr>
            <w:r>
              <w:t xml:space="preserve">Created</w:t>
            </w:r>
          </w:p>
        </w:tc>
        <w:tc>
          <w:tcPr>
            <w:tcW w:w="6012" w:type="dxa"/>
          </w:tcPr>
          <w:p>
            <w:pPr>
              <w:pStyle w:val="Compact"/>
            </w:pPr>
            <w:r>
              <w:rPr>
                <w:rStyle w:val="VerbatimChar"/>
              </w:rPr>
              <w:t xml:space="preserve">describe-repositories</w:t>
            </w:r>
            <w:r>
              <w:t xml:space="preserve"> </w:t>
            </w:r>
            <w:r>
              <w:t xml:space="preserve">shows the repository URI</w:t>
            </w:r>
          </w:p>
        </w:tc>
      </w:tr>
      <w:tr>
        <w:tc>
          <w:tcPr>
            <w:tcW w:w="1286" w:type="dxa"/>
          </w:tcPr>
          <w:p>
            <w:pPr>
              <w:pStyle w:val="Compact"/>
            </w:pPr>
            <w:r>
              <w:t xml:space="preserve">Cognito</w:t>
            </w:r>
          </w:p>
        </w:tc>
        <w:tc>
          <w:tcPr>
            <w:tcW w:w="2782" w:type="dxa"/>
          </w:tcPr>
          <w:p>
            <w:pPr>
              <w:pStyle w:val="Compact"/>
            </w:pPr>
            <w:r>
              <w:rPr>
                <w:b/>
                <w:bCs/>
              </w:rPr>
              <w:t xml:space="preserve">AccessDenied</w:t>
            </w:r>
            <w:r>
              <w:t xml:space="preserve"> </w:t>
            </w:r>
            <w:r>
              <w:t xml:space="preserve">by an account-level policy</w:t>
            </w:r>
          </w:p>
        </w:tc>
        <w:tc>
          <w:tcPr>
            <w:tcW w:w="6012" w:type="dxa"/>
          </w:tcPr>
          <w:p>
            <w:pPr>
              <w:pStyle w:val="Compact"/>
            </w:pPr>
            <w:r>
              <w:t xml:space="preserve">The denial message itself, kept as evidence. DEC-012 records the fallback; Q-10 asks IT to lift the deny</w:t>
            </w:r>
          </w:p>
        </w:tc>
      </w:tr>
    </w:tbl>
    <w:p>
      <w:pPr>
        <w:pStyle w:val="BodyText"/>
      </w:pPr>
      <w:r>
        <w:t xml:space="preserve">Lab accounts carry guardrails. The ones observed in the reference account were: Cognito, API Gateway and the Budgets API are denied; only the t2 instance family can be launched; Lambda is denied to assumed-role sessions.</w:t>
      </w:r>
      <w:r>
        <w:t xml:space="preserve"> </w:t>
      </w:r>
      <w:r>
        <w:rPr>
          <w:b/>
          <w:bCs/>
        </w:rPr>
        <w:t xml:space="preserve">A denial is a finding, not a failure.</w:t>
      </w:r>
      <w:r>
        <w:t xml:space="preserve"> </w:t>
      </w:r>
      <w:r>
        <w:t xml:space="preserve">The milestone evidence is the attempt, the exact error, the region, and the decision recorded in response.</w:t>
      </w:r>
    </w:p>
    <w:bookmarkEnd w:id="72"/>
    <w:bookmarkEnd w:id="73"/>
    <w:bookmarkStart w:id="83" w:name="appendix-a-decisions-week-2"/>
    <w:p>
      <w:pPr>
        <w:pStyle w:val="Heading1"/>
      </w:pPr>
      <w:r>
        <w:t xml:space="preserve">Appendix A · Decisions (Week 2)</w:t>
      </w:r>
    </w:p>
    <w:p>
      <w:pPr>
        <w:pStyle w:val="FirstParagraph"/>
      </w:pPr>
      <w:r>
        <w:t xml:space="preserve">The Week 1 log (DEC-001 … DEC-008) is unchanged. These entries are appended to it. Same rules apply: entries are append-only, every decision names the eval cases that test it, and reversing a decision means adding a new entry.</w:t>
      </w:r>
    </w:p>
    <w:tbl>
      <w:tblPr>
        <w:tblStyle w:val="Table"/>
        <w:tblW w:type="dxa" w:w="10080"/>
        <w:tblLayout w:type="fixed"/>
        <w:tblLook w:firstRow="1" w:lastRow="0" w:firstColumn="0" w:lastColumn="0" w:noHBand="0" w:noVBand="0" w:val="0020"/>
      </w:tblPr>
      <w:tblGrid>
        <w:gridCol w:w="1175"/>
        <w:gridCol w:w="5422"/>
        <w:gridCol w:w="1884"/>
        <w:gridCol w:w="1599"/>
      </w:tblGrid>
      <w:tr>
        <w:trPr>
          <w:tblHeader w:val="on"/>
        </w:trPr>
        <w:tc>
          <w:tcPr>
            <w:tcW w:w="1175" w:type="dxa"/>
          </w:tcPr>
          <w:p>
            <w:pPr>
              <w:pStyle w:val="Compact"/>
            </w:pPr>
            <w:r>
              <w:t xml:space="preserve">ID</w:t>
            </w:r>
          </w:p>
        </w:tc>
        <w:tc>
          <w:tcPr>
            <w:tcW w:w="5422" w:type="dxa"/>
          </w:tcPr>
          <w:p>
            <w:pPr>
              <w:pStyle w:val="Compact"/>
            </w:pPr>
            <w:r>
              <w:t xml:space="preserve">Decision</w:t>
            </w:r>
          </w:p>
        </w:tc>
        <w:tc>
          <w:tcPr>
            <w:tcW w:w="1884" w:type="dxa"/>
          </w:tcPr>
          <w:p>
            <w:pPr>
              <w:pStyle w:val="Compact"/>
            </w:pPr>
            <w:r>
              <w:t xml:space="preserve">Status</w:t>
            </w:r>
          </w:p>
        </w:tc>
        <w:tc>
          <w:tcPr>
            <w:tcW w:w="1599" w:type="dxa"/>
          </w:tcPr>
          <w:p>
            <w:pPr>
              <w:pStyle w:val="Compact"/>
            </w:pPr>
            <w:r>
              <w:t xml:space="preserve">Date</w:t>
            </w:r>
          </w:p>
        </w:tc>
      </w:tr>
      <w:tr>
        <w:tc>
          <w:tcPr>
            <w:tcW w:w="1175" w:type="dxa"/>
          </w:tcPr>
          <w:p>
            <w:pPr>
              <w:pStyle w:val="Compact"/>
            </w:pPr>
            <w:r>
              <w:t xml:space="preserve">DEC-008</w:t>
            </w:r>
          </w:p>
        </w:tc>
        <w:tc>
          <w:tcPr>
            <w:tcW w:w="5422" w:type="dxa"/>
          </w:tcPr>
          <w:p>
            <w:pPr>
              <w:pStyle w:val="Compact"/>
            </w:pPr>
            <w:r>
              <w:t xml:space="preserve">Stack A: OpenAI Agents SDK on AWS, behind a provider seam</w:t>
            </w:r>
          </w:p>
        </w:tc>
        <w:tc>
          <w:tcPr>
            <w:tcW w:w="1884" w:type="dxa"/>
          </w:tcPr>
          <w:p>
            <w:pPr>
              <w:pStyle w:val="Compact"/>
            </w:pPr>
            <w:r>
              <w:rPr>
                <w:b/>
                <w:bCs/>
              </w:rPr>
              <w:t xml:space="preserve">Accepted</w:t>
            </w:r>
            <w:r>
              <w:t xml:space="preserve"> </w:t>
            </w:r>
            <w:r>
              <w:t xml:space="preserve">(was Proposed)</w:t>
            </w:r>
          </w:p>
        </w:tc>
        <w:tc>
          <w:tcPr>
            <w:tcW w:w="1599" w:type="dxa"/>
          </w:tcPr>
          <w:p>
            <w:pPr>
              <w:pStyle w:val="Compact"/>
            </w:pPr>
            <w:r>
              <w:t xml:space="preserve">2026-10-07</w:t>
            </w:r>
          </w:p>
        </w:tc>
      </w:tr>
      <w:tr>
        <w:tc>
          <w:tcPr>
            <w:tcW w:w="1175" w:type="dxa"/>
          </w:tcPr>
          <w:p>
            <w:pPr>
              <w:pStyle w:val="Compact"/>
            </w:pPr>
            <w:r>
              <w:t xml:space="preserve">DEC-009</w:t>
            </w:r>
          </w:p>
        </w:tc>
        <w:tc>
          <w:tcPr>
            <w:tcW w:w="5422" w:type="dxa"/>
          </w:tcPr>
          <w:p>
            <w:pPr>
              <w:pStyle w:val="Compact"/>
            </w:pPr>
            <w:r>
              <w:t xml:space="preserve">Gate order: fraud → coverage → total loss → documentation → first-pass band</w:t>
            </w:r>
          </w:p>
        </w:tc>
        <w:tc>
          <w:tcPr>
            <w:tcW w:w="1884" w:type="dxa"/>
          </w:tcPr>
          <w:p>
            <w:pPr>
              <w:pStyle w:val="Compact"/>
            </w:pPr>
            <w:r>
              <w:t xml:space="preserve">Accepted</w:t>
            </w:r>
          </w:p>
        </w:tc>
        <w:tc>
          <w:tcPr>
            <w:tcW w:w="1599" w:type="dxa"/>
          </w:tcPr>
          <w:p>
            <w:pPr>
              <w:pStyle w:val="Compact"/>
            </w:pPr>
            <w:r>
              <w:t xml:space="preserve">2026-10-06</w:t>
            </w:r>
          </w:p>
        </w:tc>
      </w:tr>
      <w:tr>
        <w:tc>
          <w:tcPr>
            <w:tcW w:w="1175" w:type="dxa"/>
          </w:tcPr>
          <w:p>
            <w:pPr>
              <w:pStyle w:val="Compact"/>
            </w:pPr>
            <w:r>
              <w:t xml:space="preserve">DEC-010</w:t>
            </w:r>
          </w:p>
        </w:tc>
        <w:tc>
          <w:tcPr>
            <w:tcW w:w="5422" w:type="dxa"/>
          </w:tcPr>
          <w:p>
            <w:pPr>
              <w:pStyle w:val="Compact"/>
            </w:pPr>
            <w:r>
              <w:t xml:space="preserve">Deductible chosen by loss category; unknown category →</w:t>
            </w:r>
            <w:r>
              <w:t xml:space="preserve"> </w:t>
            </w:r>
            <w:r>
              <w:rPr>
                <w:rStyle w:val="VerbatimChar"/>
              </w:rPr>
              <w:t xml:space="preserve">flag_review</w:t>
            </w:r>
          </w:p>
        </w:tc>
        <w:tc>
          <w:tcPr>
            <w:tcW w:w="1884" w:type="dxa"/>
          </w:tcPr>
          <w:p>
            <w:pPr>
              <w:pStyle w:val="Compact"/>
            </w:pPr>
            <w:r>
              <w:t xml:space="preserve">Accepted</w:t>
            </w:r>
          </w:p>
        </w:tc>
        <w:tc>
          <w:tcPr>
            <w:tcW w:w="1599" w:type="dxa"/>
          </w:tcPr>
          <w:p>
            <w:pPr>
              <w:pStyle w:val="Compact"/>
            </w:pPr>
            <w:r>
              <w:t xml:space="preserve">2026-10-06</w:t>
            </w:r>
          </w:p>
        </w:tc>
      </w:tr>
      <w:tr>
        <w:tc>
          <w:tcPr>
            <w:tcW w:w="1175" w:type="dxa"/>
          </w:tcPr>
          <w:p>
            <w:pPr>
              <w:pStyle w:val="Compact"/>
            </w:pPr>
            <w:r>
              <w:t xml:space="preserve">DEC-011</w:t>
            </w:r>
          </w:p>
        </w:tc>
        <w:tc>
          <w:tcPr>
            <w:tcW w:w="5422" w:type="dxa"/>
          </w:tcPr>
          <w:p>
            <w:pPr>
              <w:pStyle w:val="Compact"/>
            </w:pPr>
            <w:r>
              <w:t xml:space="preserve">Lexical (BM25) retrieval for the 12-clause manual; vectors deferred</w:t>
            </w:r>
          </w:p>
        </w:tc>
        <w:tc>
          <w:tcPr>
            <w:tcW w:w="1884" w:type="dxa"/>
          </w:tcPr>
          <w:p>
            <w:pPr>
              <w:pStyle w:val="Compact"/>
            </w:pPr>
            <w:r>
              <w:t xml:space="preserve">Accepted</w:t>
            </w:r>
          </w:p>
        </w:tc>
        <w:tc>
          <w:tcPr>
            <w:tcW w:w="1599" w:type="dxa"/>
          </w:tcPr>
          <w:p>
            <w:pPr>
              <w:pStyle w:val="Compact"/>
            </w:pPr>
            <w:r>
              <w:t xml:space="preserve">2026-10-07</w:t>
            </w:r>
          </w:p>
        </w:tc>
      </w:tr>
      <w:tr>
        <w:tc>
          <w:tcPr>
            <w:tcW w:w="1175" w:type="dxa"/>
          </w:tcPr>
          <w:p>
            <w:pPr>
              <w:pStyle w:val="Compact"/>
            </w:pPr>
            <w:r>
              <w:t xml:space="preserve">DEC-012</w:t>
            </w:r>
          </w:p>
        </w:tc>
        <w:tc>
          <w:tcPr>
            <w:tcW w:w="5422" w:type="dxa"/>
          </w:tcPr>
          <w:p>
            <w:pPr>
              <w:pStyle w:val="Compact"/>
            </w:pPr>
            <w:r>
              <w:t xml:space="preserve">Identity: Cognito user pool; fallback to signed JWTs with Cognito-shaped claims if the account denies Cognito</w:t>
            </w:r>
          </w:p>
        </w:tc>
        <w:tc>
          <w:tcPr>
            <w:tcW w:w="1884" w:type="dxa"/>
          </w:tcPr>
          <w:p>
            <w:pPr>
              <w:pStyle w:val="Compact"/>
            </w:pPr>
            <w:r>
              <w:t xml:space="preserve">Accepted</w:t>
            </w:r>
          </w:p>
        </w:tc>
        <w:tc>
          <w:tcPr>
            <w:tcW w:w="1599" w:type="dxa"/>
          </w:tcPr>
          <w:p>
            <w:pPr>
              <w:pStyle w:val="Compact"/>
            </w:pPr>
            <w:r>
              <w:t xml:space="preserve">2026-10-08</w:t>
            </w:r>
          </w:p>
        </w:tc>
      </w:tr>
      <w:tr>
        <w:tc>
          <w:tcPr>
            <w:tcW w:w="1175" w:type="dxa"/>
          </w:tcPr>
          <w:p>
            <w:pPr>
              <w:pStyle w:val="Compact"/>
            </w:pPr>
            <w:r>
              <w:t xml:space="preserve">DEC-013</w:t>
            </w:r>
          </w:p>
        </w:tc>
        <w:tc>
          <w:tcPr>
            <w:tcW w:w="5422" w:type="dxa"/>
          </w:tcPr>
          <w:p>
            <w:pPr>
              <w:pStyle w:val="Compact"/>
            </w:pPr>
            <w:r>
              <w:t xml:space="preserve">Data minimisation in the contract: no holder name; policy is read through a claim</w:t>
            </w:r>
          </w:p>
        </w:tc>
        <w:tc>
          <w:tcPr>
            <w:tcW w:w="1884" w:type="dxa"/>
          </w:tcPr>
          <w:p>
            <w:pPr>
              <w:pStyle w:val="Compact"/>
            </w:pPr>
            <w:r>
              <w:t xml:space="preserve">Accepted</w:t>
            </w:r>
          </w:p>
        </w:tc>
        <w:tc>
          <w:tcPr>
            <w:tcW w:w="1599" w:type="dxa"/>
          </w:tcPr>
          <w:p>
            <w:pPr>
              <w:pStyle w:val="Compact"/>
            </w:pPr>
            <w:r>
              <w:t xml:space="preserve">2026-10-08</w:t>
            </w:r>
          </w:p>
        </w:tc>
      </w:tr>
      <w:tr>
        <w:tc>
          <w:tcPr>
            <w:tcW w:w="1175" w:type="dxa"/>
          </w:tcPr>
          <w:p>
            <w:pPr>
              <w:pStyle w:val="Compact"/>
            </w:pPr>
            <w:r>
              <w:t xml:space="preserve">DEC-014</w:t>
            </w:r>
          </w:p>
        </w:tc>
        <w:tc>
          <w:tcPr>
            <w:tcW w:w="5422" w:type="dxa"/>
          </w:tcPr>
          <w:p>
            <w:pPr>
              <w:pStyle w:val="Compact"/>
            </w:pPr>
            <w:r>
              <w:t xml:space="preserve">Commercials: T&amp;M capped at $64,500 + $1,500 pass-through</w:t>
            </w:r>
          </w:p>
        </w:tc>
        <w:tc>
          <w:tcPr>
            <w:tcW w:w="1884" w:type="dxa"/>
          </w:tcPr>
          <w:p>
            <w:pPr>
              <w:pStyle w:val="Compact"/>
            </w:pPr>
            <w:r>
              <w:t xml:space="preserve">Proposed → Sponsor and CFO</w:t>
            </w:r>
          </w:p>
        </w:tc>
        <w:tc>
          <w:tcPr>
            <w:tcW w:w="1599" w:type="dxa"/>
          </w:tcPr>
          <w:p>
            <w:pPr>
              <w:pStyle w:val="Compact"/>
            </w:pPr>
            <w:r>
              <w:t xml:space="preserve">2026-10-07</w:t>
            </w:r>
          </w:p>
        </w:tc>
      </w:tr>
    </w:tbl>
    <w:p>
      <w:r>
        <w:pict>
          <v:rect style="width:0;height:1.5pt" o:hralign="center" o:hrstd="t" o:hr="t"/>
        </w:pict>
      </w:r>
    </w:p>
    <w:bookmarkStart w:id="74" w:name="X4bed8647b9a9fd9020dd6540f8d13c0a2133461"/>
    <w:p>
      <w:pPr>
        <w:pStyle w:val="Heading2"/>
      </w:pPr>
      <w:r>
        <w:t xml:space="preserve">DEC-008 · Stack A, behind a provider seam — now Accepted</w:t>
      </w:r>
    </w:p>
    <w:p>
      <w:pPr>
        <w:pStyle w:val="FirstParagraph"/>
      </w:pPr>
      <w:r>
        <w:rPr>
          <w:b/>
          <w:bCs/>
        </w:rPr>
        <w:t xml:space="preserve">Accepted</w:t>
      </w:r>
      <w:r>
        <w:t xml:space="preserve"> </w:t>
      </w:r>
      <w:r>
        <w:t xml:space="preserve">2026-10-07 in the architecture review (Tom Ngata, Marcus Chen). Security asked for one change: the model vendor is named in the SoW data-handling clause (SoW §6), and replacing it is a change request.</w:t>
      </w:r>
    </w:p>
    <w:bookmarkEnd w:id="74"/>
    <w:bookmarkStart w:id="75" w:name="dec-009-gate-order"/>
    <w:p>
      <w:pPr>
        <w:pStyle w:val="Heading2"/>
      </w:pPr>
      <w:r>
        <w:t xml:space="preserve">DEC-009 · Gate order</w:t>
      </w:r>
    </w:p>
    <w:p>
      <w:pPr>
        <w:pStyle w:val="FirstParagraph"/>
      </w:pPr>
      <w:r>
        <w:rPr>
          <w:b/>
          <w:bCs/>
        </w:rPr>
        <w:t xml:space="preserve">Status:</w:t>
      </w:r>
      <w:r>
        <w:t xml:space="preserve"> </w:t>
      </w:r>
      <w:r>
        <w:t xml:space="preserve">Accepted · 2026-10-06 · Bob Reyes (closes Q-01)</w:t>
      </w:r>
    </w:p>
    <w:p>
      <w:pPr>
        <w:pStyle w:val="BodyText"/>
      </w:pPr>
      <w:r>
        <w:rPr>
          <w:b/>
          <w:bCs/>
        </w:rPr>
        <w:t xml:space="preserve">Context.</w:t>
      </w:r>
      <w:r>
        <w:t xml:space="preserve"> </w:t>
      </w:r>
      <w:r>
        <w:t xml:space="preserve">CLM-2024-3114 is a garage fire on a Liability Only policy, at 84% of ACV. The Week 1 rule table checks total loss before coverage, which sends this claim to the appraiser. Eve would then value a vehicle that AutoSure doesn’t cover.</w:t>
      </w:r>
    </w:p>
    <w:p>
      <w:pPr>
        <w:pStyle w:val="BodyText"/>
      </w:pPr>
      <w:r>
        <w:rPr>
          <w:b/>
          <w:bCs/>
        </w:rPr>
        <w:t xml:space="preserve">Decision.</w:t>
      </w:r>
      <w:r>
        <w:t xml:space="preserve"> </w:t>
      </w:r>
      <w:r>
        <w:t xml:space="preserve">Gates are evaluated in this order, and the first one that fires sets the code:</w:t>
      </w:r>
    </w:p>
    <w:p>
      <w:pPr>
        <w:pStyle w:val="Compact"/>
        <w:numPr>
          <w:ilvl w:val="0"/>
          <w:numId w:val="1011"/>
        </w:numPr>
      </w:pPr>
      <w:r>
        <w:rPr>
          <w:b/>
          <w:bCs/>
        </w:rPr>
        <w:t xml:space="preserve">Fraud.</w:t>
      </w:r>
      <w:r>
        <w:t xml:space="preserve"> </w:t>
      </w:r>
      <w:r>
        <w:t xml:space="preserve">Score ≥ 0.70 →</w:t>
      </w:r>
      <w:r>
        <w:t xml:space="preserve"> </w:t>
      </w:r>
      <w:r>
        <w:rPr>
          <w:rStyle w:val="VerbatimChar"/>
        </w:rPr>
        <w:t xml:space="preserve">route_specialist</w:t>
      </w:r>
      <w:r>
        <w:t xml:space="preserve"> </w:t>
      </w:r>
      <w:r>
        <w:t xml:space="preserve">(SIU). Fraud comes first because a fraudulent claim can look covered.</w:t>
      </w:r>
    </w:p>
    <w:p>
      <w:pPr>
        <w:pStyle w:val="Compact"/>
        <w:numPr>
          <w:ilvl w:val="0"/>
          <w:numId w:val="1011"/>
        </w:numPr>
      </w:pPr>
      <w:r>
        <w:rPr>
          <w:b/>
          <w:bCs/>
        </w:rPr>
        <w:t xml:space="preserve">Coverage.</w:t>
      </w:r>
      <w:r>
        <w:t xml:space="preserve"> </w:t>
      </w:r>
      <w:r>
        <w:t xml:space="preserve">The loss is outside the policy period, the policy is Liability Only on a first-party claim, or the loss category isn’t covered →</w:t>
      </w:r>
      <w:r>
        <w:t xml:space="preserve"> </w:t>
      </w:r>
      <w:r>
        <w:rPr>
          <w:rStyle w:val="VerbatimChar"/>
        </w:rPr>
        <w:t xml:space="preserve">deny</w:t>
      </w:r>
      <w:r>
        <w:t xml:space="preserve"> </w:t>
      </w:r>
      <w:r>
        <w:t xml:space="preserve">(a recommendation, signed by a senior).</w:t>
      </w:r>
    </w:p>
    <w:p>
      <w:pPr>
        <w:pStyle w:val="Compact"/>
        <w:numPr>
          <w:ilvl w:val="0"/>
          <w:numId w:val="1011"/>
        </w:numPr>
      </w:pPr>
      <w:r>
        <w:rPr>
          <w:b/>
          <w:bCs/>
        </w:rPr>
        <w:t xml:space="preserve">Total loss.</w:t>
      </w:r>
      <w:r>
        <w:t xml:space="preserve"> </w:t>
      </w:r>
      <w:r>
        <w:t xml:space="preserve">TL ratio ≥ 0.75 →</w:t>
      </w:r>
      <w:r>
        <w:t xml:space="preserve"> </w:t>
      </w:r>
      <w:r>
        <w:rPr>
          <w:rStyle w:val="VerbatimChar"/>
        </w:rPr>
        <w:t xml:space="preserve">route_specialist</w:t>
      </w:r>
      <w:r>
        <w:t xml:space="preserve"> </w:t>
      </w:r>
      <w:r>
        <w:t xml:space="preserve">(appraiser).</w:t>
      </w:r>
    </w:p>
    <w:p>
      <w:pPr>
        <w:pStyle w:val="Compact"/>
        <w:numPr>
          <w:ilvl w:val="0"/>
          <w:numId w:val="1011"/>
        </w:numPr>
      </w:pPr>
      <w:r>
        <w:rPr>
          <w:b/>
          <w:bCs/>
        </w:rPr>
        <w:t xml:space="preserve">Injury.</w:t>
      </w:r>
      <w:r>
        <w:t xml:space="preserve"> </w:t>
      </w:r>
      <w:r>
        <w:t xml:space="preserve">Injury reported →</w:t>
      </w:r>
      <w:r>
        <w:t xml:space="preserve"> </w:t>
      </w:r>
      <w:r>
        <w:rPr>
          <w:rStyle w:val="VerbatimChar"/>
        </w:rPr>
        <w:t xml:space="preserve">flag_review</w:t>
      </w:r>
      <w:r>
        <w:t xml:space="preserve">, with the next step</w:t>
      </w:r>
      <w:r>
        <w:t xml:space="preserve"> </w:t>
      </w:r>
      <w:r>
        <w:t xml:space="preserve">“assign an injury-qualified adjuster”</w:t>
      </w:r>
      <w:r>
        <w:t xml:space="preserve"> </w:t>
      </w:r>
      <w:r>
        <w:t xml:space="preserve">(Q-05).</w:t>
      </w:r>
      <w:r>
        <w:t xml:space="preserve"> </w:t>
      </w:r>
      <w:r>
        <w:rPr>
          <w:rStyle w:val="VerbatimChar"/>
        </w:rPr>
        <w:t xml:space="preserve">route_specialist</w:t>
      </w:r>
      <w:r>
        <w:t xml:space="preserve"> </w:t>
      </w:r>
      <w:r>
        <w:t xml:space="preserve">stays reserved for SIU and the total-loss appraiser, as in DEC-003.</w:t>
      </w:r>
    </w:p>
    <w:p>
      <w:pPr>
        <w:pStyle w:val="Compact"/>
        <w:numPr>
          <w:ilvl w:val="0"/>
          <w:numId w:val="1011"/>
        </w:numPr>
      </w:pPr>
      <w:r>
        <w:rPr>
          <w:b/>
          <w:bCs/>
        </w:rPr>
        <w:t xml:space="preserve">Documentation.</w:t>
      </w:r>
      <w:r>
        <w:t xml:space="preserve"> </w:t>
      </w:r>
      <w:r>
        <w:t xml:space="preserve">The estimate is missing or pending OCR, a hit-and-run has no police report, or a medical report sits on a no-injury FNOL (CLS-INJ-008) →</w:t>
      </w:r>
      <w:r>
        <w:t xml:space="preserve"> </w:t>
      </w:r>
      <w:r>
        <w:rPr>
          <w:rStyle w:val="VerbatimChar"/>
        </w:rPr>
        <w:t xml:space="preserve">flag_review</w:t>
      </w:r>
      <w:r>
        <w:t xml:space="preserve">.</w:t>
      </w:r>
    </w:p>
    <w:p>
      <w:pPr>
        <w:pStyle w:val="Compact"/>
        <w:numPr>
          <w:ilvl w:val="0"/>
          <w:numId w:val="1011"/>
        </w:numPr>
      </w:pPr>
      <w:r>
        <w:rPr>
          <w:b/>
          <w:bCs/>
        </w:rPr>
        <w:t xml:space="preserve">First-pass band</w:t>
      </w:r>
      <w:r>
        <w:t xml:space="preserve"> </w:t>
      </w:r>
      <w:r>
        <w:t xml:space="preserve">→</w:t>
      </w:r>
      <w:r>
        <w:t xml:space="preserve"> </w:t>
      </w:r>
      <w:r>
        <w:rPr>
          <w:rStyle w:val="VerbatimChar"/>
        </w:rPr>
        <w:t xml:space="preserve">approve</w:t>
      </w:r>
      <w:r>
        <w:t xml:space="preserve">. Everything else →</w:t>
      </w:r>
      <w:r>
        <w:t xml:space="preserve"> </w:t>
      </w:r>
      <w:r>
        <w:rPr>
          <w:rStyle w:val="VerbatimChar"/>
        </w:rPr>
        <w:t xml:space="preserve">flag_review</w:t>
      </w:r>
      <w:r>
        <w:t xml:space="preserve">.</w:t>
      </w:r>
    </w:p>
    <w:p>
      <w:pPr>
        <w:pStyle w:val="FirstParagraph"/>
      </w:pPr>
      <w:r>
        <w:rPr>
          <w:b/>
          <w:bCs/>
        </w:rPr>
        <w:t xml:space="preserve">Consequences.</w:t>
      </w:r>
      <w:r>
        <w:t xml:space="preserve"> </w:t>
      </w:r>
      <w:r>
        <w:t xml:space="preserve">CLM-2024-3114 becomes</w:t>
      </w:r>
      <w:r>
        <w:t xml:space="preserve"> </w:t>
      </w:r>
      <w:r>
        <w:rPr>
          <w:b/>
          <w:bCs/>
        </w:rPr>
        <w:t xml:space="preserve">W2-D06</w:t>
      </w:r>
      <w:r>
        <w:t xml:space="preserve">: expected</w:t>
      </w:r>
      <w:r>
        <w:t xml:space="preserve"> </w:t>
      </w:r>
      <w:r>
        <w:rPr>
          <w:rStyle w:val="VerbatimChar"/>
        </w:rPr>
        <w:t xml:space="preserve">deny</w:t>
      </w:r>
      <w:r>
        <w:t xml:space="preserve">, citing CLS-LIAB-003 and CLS-COMP-002, with no appraisal. The Week 3 baseline uses this order.</w:t>
      </w:r>
    </w:p>
    <w:p>
      <w:pPr>
        <w:pStyle w:val="BodyText"/>
      </w:pPr>
      <w:r>
        <w:rPr>
          <w:b/>
          <w:bCs/>
        </w:rPr>
        <w:t xml:space="preserve">Dry run (</w:t>
      </w:r>
      <w:r>
        <w:rPr>
          <w:rStyle w:val="VerbatimChar"/>
          <w:b/>
          <w:bCs/>
        </w:rPr>
        <w:t xml:space="preserve">build.py</w:t>
      </w:r>
      <w:r>
        <w:rPr>
          <w:b/>
          <w:bCs/>
        </w:rPr>
        <w:t xml:space="preserve">).</w:t>
      </w:r>
      <w:r>
        <w:t xml:space="preserve"> </w:t>
      </w:r>
      <w:r>
        <w:t xml:space="preserve">The gates agree with</w:t>
      </w:r>
      <w:r>
        <w:t xml:space="preserve"> </w:t>
      </w:r>
      <w:r>
        <w:rPr>
          <w:b/>
          <w:bCs/>
        </w:rPr>
        <w:t xml:space="preserve">21 of 22</w:t>
      </w:r>
      <w:r>
        <w:t xml:space="preserve"> </w:t>
      </w:r>
      <w:r>
        <w:t xml:space="preserve">labelled cases: the 20 from W1 plus W2-D06 and W2-F06. The one miss is W1-F05, a renewal premium received before the loss but not yet processed. The gates read the dates and say</w:t>
      </w:r>
      <w:r>
        <w:t xml:space="preserve"> </w:t>
      </w:r>
      <w:r>
        <w:rPr>
          <w:rStyle w:val="VerbatimChar"/>
        </w:rPr>
        <w:t xml:space="preserve">deny</w:t>
      </w:r>
      <w:r>
        <w:t xml:space="preserve">. The label says</w:t>
      </w:r>
      <w:r>
        <w:t xml:space="preserve"> </w:t>
      </w:r>
      <w:r>
        <w:rPr>
          <w:rStyle w:val="VerbatimChar"/>
        </w:rPr>
        <w:t xml:space="preserve">flag_review</w:t>
      </w:r>
      <w:r>
        <w:t xml:space="preserve">, because the receipt has to be read. That is the Coverage Check agent’s job, and it’s the reason the agents exist.</w:t>
      </w:r>
    </w:p>
    <w:p>
      <w:pPr>
        <w:pStyle w:val="BodyText"/>
      </w:pPr>
      <w:r>
        <w:rPr>
          <w:b/>
          <w:bCs/>
        </w:rPr>
        <w:t xml:space="preserve">Caught by the dry run.</w:t>
      </w:r>
      <w:r>
        <w:t xml:space="preserve"> </w:t>
      </w:r>
      <w:r>
        <w:t xml:space="preserve">Bob’s first answer to Q-05 was</w:t>
      </w:r>
      <w:r>
        <w:t xml:space="preserve"> </w:t>
      </w:r>
      <w:r>
        <w:t xml:space="preserve">“injury →</w:t>
      </w:r>
      <w:r>
        <w:t xml:space="preserve"> </w:t>
      </w:r>
      <w:r>
        <w:rPr>
          <w:rStyle w:val="VerbatimChar"/>
        </w:rPr>
        <w:t xml:space="preserve">route_specialist</w:t>
      </w:r>
      <w:r>
        <w:t xml:space="preserve">”</w:t>
      </w:r>
      <w:r>
        <w:t xml:space="preserve">. Run through the gates, that contradicted his own W1-F03 label, and it also contradicted DEC-003, where</w:t>
      </w:r>
      <w:r>
        <w:t xml:space="preserve"> </w:t>
      </w:r>
      <w:r>
        <w:rPr>
          <w:rStyle w:val="VerbatimChar"/>
        </w:rPr>
        <w:t xml:space="preserve">route_specialist</w:t>
      </w:r>
      <w:r>
        <w:t xml:space="preserve"> </w:t>
      </w:r>
      <w:r>
        <w:t xml:space="preserve">means SIU or the appraiser only. Bob corrected the answer on 2026-10-08 before sign-off. A label set and a rule set that disagree can’t both be the acceptance test, and this check is what found the disagreement.</w:t>
      </w:r>
    </w:p>
    <w:p>
      <w:pPr>
        <w:pStyle w:val="BodyText"/>
      </w:pPr>
      <w:r>
        <w:rPr>
          <w:b/>
          <w:bCs/>
        </w:rPr>
        <w:t xml:space="preserve">Tested by.</w:t>
      </w:r>
      <w:r>
        <w:t xml:space="preserve"> </w:t>
      </w:r>
      <w:r>
        <w:t xml:space="preserve">W2-D06, W1-R03 (TL with coverage in force, still routed to the appraiser).</w:t>
      </w:r>
    </w:p>
    <w:bookmarkEnd w:id="75"/>
    <w:bookmarkStart w:id="76" w:name="dec-010-deductible-by-loss-category"/>
    <w:p>
      <w:pPr>
        <w:pStyle w:val="Heading2"/>
      </w:pPr>
      <w:r>
        <w:t xml:space="preserve">DEC-010 · Deductible by loss category</w:t>
      </w:r>
    </w:p>
    <w:p>
      <w:pPr>
        <w:pStyle w:val="FirstParagraph"/>
      </w:pPr>
      <w:r>
        <w:rPr>
          <w:b/>
          <w:bCs/>
        </w:rPr>
        <w:t xml:space="preserve">Status:</w:t>
      </w:r>
      <w:r>
        <w:t xml:space="preserve"> </w:t>
      </w:r>
      <w:r>
        <w:t xml:space="preserve">Accepted · 2026-10-06 · Grace Liu (closes Q-03)</w:t>
      </w:r>
    </w:p>
    <w:p>
      <w:pPr>
        <w:pStyle w:val="BodyText"/>
      </w:pPr>
      <w:r>
        <w:rPr>
          <w:b/>
          <w:bCs/>
        </w:rPr>
        <w:t xml:space="preserve">Decision.</w:t>
      </w:r>
      <w:r>
        <w:t xml:space="preserve"> </w:t>
      </w:r>
      <w:r>
        <w:rPr>
          <w:rStyle w:val="VerbatimChar"/>
        </w:rPr>
        <w:t xml:space="preserve">loss_category</w:t>
      </w:r>
      <w:r>
        <w:t xml:space="preserve"> </w:t>
      </w:r>
      <w:r>
        <w:t xml:space="preserve">is derived from</w:t>
      </w:r>
      <w:r>
        <w:t xml:space="preserve"> </w:t>
      </w:r>
      <w:r>
        <w:rPr>
          <w:rStyle w:val="VerbatimChar"/>
        </w:rPr>
        <w:t xml:space="preserve">incident_type</w:t>
      </w:r>
      <w:r>
        <w:t xml:space="preserve"> </w:t>
      </w:r>
      <w:r>
        <w:t xml:space="preserve">using the table in</w:t>
      </w:r>
      <w:r>
        <w:t xml:space="preserve"> </w:t>
      </w:r>
      <w:r>
        <w:rPr>
          <w:rStyle w:val="VerbatimChar"/>
        </w:rPr>
        <w:t xml:space="preserve">06_SYNTHETIC_DATA_SHAPES.md</w:t>
      </w:r>
      <w:r>
        <w:t xml:space="preserve"> </w:t>
      </w:r>
      <w:r>
        <w:t xml:space="preserve">§4, which follows CLS-COMP-002. Pothole damage is collision. The deductible is the one for that category. An unmapped type means no deductible is chosen, and the code is</w:t>
      </w:r>
      <w:r>
        <w:t xml:space="preserve"> </w:t>
      </w:r>
      <w:r>
        <w:rPr>
          <w:rStyle w:val="VerbatimChar"/>
        </w:rPr>
        <w:t xml:space="preserve">flag_review</w:t>
      </w:r>
      <w:r>
        <w:t xml:space="preserve"> </w:t>
      </w:r>
      <w:r>
        <w:t xml:space="preserve">with the reason</w:t>
      </w:r>
      <w:r>
        <w:t xml:space="preserve"> </w:t>
      </w:r>
      <w:r>
        <w:t xml:space="preserve">“unknown loss category”</w:t>
      </w:r>
      <w:r>
        <w:t xml:space="preserve">.</w:t>
      </w:r>
    </w:p>
    <w:p>
      <w:pPr>
        <w:pStyle w:val="BodyText"/>
      </w:pPr>
      <w:r>
        <w:rPr>
          <w:b/>
          <w:bCs/>
        </w:rPr>
        <w:t xml:space="preserve">Consequences.</w:t>
      </w:r>
      <w:r>
        <w:t xml:space="preserve"> </w:t>
      </w:r>
      <w:r>
        <w:t xml:space="preserve">The export always has equal deductibles, so no fixture changes its figure. W3 adds two synthetic cases with unequal deductibles (one collision, one comprehensive) to prove the deductible is chosen by category.</w:t>
      </w:r>
    </w:p>
    <w:bookmarkEnd w:id="76"/>
    <w:bookmarkStart w:id="77" w:name="dec-011-bm25-retrieval-vectors-deferred"/>
    <w:p>
      <w:pPr>
        <w:pStyle w:val="Heading2"/>
      </w:pPr>
      <w:r>
        <w:t xml:space="preserve">DEC-011 · BM25 retrieval, vectors deferred</w:t>
      </w:r>
    </w:p>
    <w:p>
      <w:pPr>
        <w:pStyle w:val="FirstParagraph"/>
      </w:pPr>
      <w:r>
        <w:rPr>
          <w:b/>
          <w:bCs/>
        </w:rPr>
        <w:t xml:space="preserve">Status:</w:t>
      </w:r>
      <w:r>
        <w:t xml:space="preserve"> </w:t>
      </w:r>
      <w:r>
        <w:t xml:space="preserve">Accepted · 2026-10-07 · Grace Liu, Tom Ngata</w:t>
      </w:r>
    </w:p>
    <w:p>
      <w:pPr>
        <w:pStyle w:val="BodyText"/>
      </w:pPr>
      <w:r>
        <w:rPr>
          <w:b/>
          <w:bCs/>
        </w:rPr>
        <w:t xml:space="preserve">Context.</w:t>
      </w:r>
      <w:r>
        <w:t xml:space="preserve"> </w:t>
      </w:r>
      <w:r>
        <w:t xml:space="preserve">The course reference uses dense vectors. The manual has 12 clauses with exact ids, and adjusters search it by terms (</w:t>
      </w:r>
      <w:r>
        <w:t xml:space="preserve">“liability only”</w:t>
      </w:r>
      <w:r>
        <w:t xml:space="preserve">,</w:t>
      </w:r>
      <w:r>
        <w:t xml:space="preserve"> </w:t>
      </w:r>
      <w:r>
        <w:t xml:space="preserve">“total loss”</w:t>
      </w:r>
      <w:r>
        <w:t xml:space="preserve">,</w:t>
      </w:r>
      <w:r>
        <w:t xml:space="preserve"> </w:t>
      </w:r>
      <w:r>
        <w:t xml:space="preserve">“pothole”</w:t>
      </w:r>
      <w:r>
        <w:t xml:space="preserve">).</w:t>
      </w:r>
    </w:p>
    <w:p>
      <w:pPr>
        <w:pStyle w:val="BodyText"/>
      </w:pPr>
      <w:r>
        <w:rPr>
          <w:b/>
          <w:bCs/>
        </w:rPr>
        <w:t xml:space="preserve">Decision.</w:t>
      </w:r>
      <w:r>
        <w:t xml:space="preserve"> </w:t>
      </w:r>
      <w:r>
        <w:t xml:space="preserve">OpenSearch BM25 over clause text, loaded from S3 at boot. If OpenSearch is down, the fallback is token-overlap scoring over the same files, so retrieval is still grounded.</w:t>
      </w:r>
    </w:p>
    <w:p>
      <w:pPr>
        <w:pStyle w:val="BodyText"/>
      </w:pPr>
      <w:r>
        <w:rPr>
          <w:b/>
          <w:bCs/>
        </w:rPr>
        <w:t xml:space="preserve">Revisit trigger.</w:t>
      </w:r>
      <w:r>
        <w:t xml:space="preserve"> </w:t>
      </w:r>
      <w:r>
        <w:t xml:space="preserve">The manual grows beyond ~60 clauses, or W3 retrieval recall on the 20 cases’</w:t>
      </w:r>
      <w:r>
        <w:t xml:space="preserve"> </w:t>
      </w:r>
      <w:r>
        <w:rPr>
          <w:rStyle w:val="VerbatimChar"/>
        </w:rPr>
        <w:t xml:space="preserve">expected_citations</w:t>
      </w:r>
      <w:r>
        <w:t xml:space="preserve"> </w:t>
      </w:r>
      <w:r>
        <w:t xml:space="preserve">is below 95%.</w:t>
      </w:r>
    </w:p>
    <w:bookmarkEnd w:id="77"/>
    <w:bookmarkStart w:id="78" w:name="X3916962817bbe7f92cad7d4ed0f587ee6dc522c"/>
    <w:p>
      <w:pPr>
        <w:pStyle w:val="Heading2"/>
      </w:pPr>
      <w:r>
        <w:t xml:space="preserve">DEC-012 · Identity provider and the fallback</w:t>
      </w:r>
    </w:p>
    <w:p>
      <w:pPr>
        <w:pStyle w:val="FirstParagraph"/>
      </w:pPr>
      <w:r>
        <w:rPr>
          <w:b/>
          <w:bCs/>
        </w:rPr>
        <w:t xml:space="preserve">Status:</w:t>
      </w:r>
      <w:r>
        <w:t xml:space="preserve"> </w:t>
      </w:r>
      <w:r>
        <w:t xml:space="preserve">Accepted · 2026-10-08 · Marcus Chen, Tom Ngata</w:t>
      </w:r>
    </w:p>
    <w:p>
      <w:pPr>
        <w:pStyle w:val="BodyText"/>
      </w:pPr>
      <w:r>
        <w:rPr>
          <w:b/>
          <w:bCs/>
        </w:rPr>
        <w:t xml:space="preserve">Context.</w:t>
      </w:r>
      <w:r>
        <w:t xml:space="preserve"> </w:t>
      </w:r>
      <w:r>
        <w:t xml:space="preserve">In the W2 AWS setup,</w:t>
      </w:r>
      <w:r>
        <w:t xml:space="preserve"> </w:t>
      </w:r>
      <w:r>
        <w:rPr>
          <w:rStyle w:val="VerbatimChar"/>
        </w:rPr>
        <w:t xml:space="preserve">cognito-idp:CreateUserPool</w:t>
      </w:r>
      <w:r>
        <w:t xml:space="preserve"> </w:t>
      </w:r>
      <w:r>
        <w:t xml:space="preserve">returned AccessDenied in the lab account. S3 and ECR worked. See</w:t>
      </w:r>
      <w:r>
        <w:t xml:space="preserve"> </w:t>
      </w:r>
      <w:r>
        <w:rPr>
          <w:rStyle w:val="VerbatimChar"/>
        </w:rPr>
        <w:t xml:space="preserve">07_AWS_SETUP_EVIDENCE.md</w:t>
      </w:r>
      <w:r>
        <w:t xml:space="preserve">.</w:t>
      </w:r>
    </w:p>
    <w:p>
      <w:pPr>
        <w:pStyle w:val="BodyText"/>
      </w:pPr>
      <w:r>
        <w:rPr>
          <w:b/>
          <w:bCs/>
        </w:rPr>
        <w:t xml:space="preserve">Decision.</w:t>
      </w:r>
      <w:r>
        <w:t xml:space="preserve"> </w:t>
      </w:r>
      <w:r>
        <w:t xml:space="preserve">The design uses Cognito: four groups, and an API Gateway JWT authorizer in W4. If the account still denies Cognito at the W4 start, the MCP Lambda verifies HS256 JWTs itself. The secret lives in SSM, and the tokens carry the same claims Cognito would issue (</w:t>
      </w:r>
      <w:r>
        <w:rPr>
          <w:rStyle w:val="VerbatimChar"/>
        </w:rPr>
        <w:t xml:space="preserve">sub</w:t>
      </w:r>
      <w:r>
        <w:t xml:space="preserve">,</w:t>
      </w:r>
      <w:r>
        <w:t xml:space="preserve"> </w:t>
      </w:r>
      <w:r>
        <w:rPr>
          <w:rStyle w:val="VerbatimChar"/>
        </w:rPr>
        <w:t xml:space="preserve">cognito:groups</w:t>
      </w:r>
      <w:r>
        <w:t xml:space="preserve">,</w:t>
      </w:r>
      <w:r>
        <w:t xml:space="preserve"> </w:t>
      </w:r>
      <w:r>
        <w:rPr>
          <w:rStyle w:val="VerbatimChar"/>
        </w:rPr>
        <w:t xml:space="preserve">iss</w:t>
      </w:r>
      <w:r>
        <w:t xml:space="preserve">,</w:t>
      </w:r>
      <w:r>
        <w:t xml:space="preserve"> </w:t>
      </w:r>
      <w:r>
        <w:rPr>
          <w:rStyle w:val="VerbatimChar"/>
        </w:rPr>
        <w:t xml:space="preserve">exp</w:t>
      </w:r>
      <w:r>
        <w:t xml:space="preserve">). The authorisation code reads claims, not the issuer, so switching back to Cognito changes configuration only.</w:t>
      </w:r>
    </w:p>
    <w:p>
      <w:pPr>
        <w:pStyle w:val="BodyText"/>
      </w:pPr>
      <w:r>
        <w:rPr>
          <w:b/>
          <w:bCs/>
        </w:rPr>
        <w:t xml:space="preserve">Consequences.</w:t>
      </w:r>
      <w:r>
        <w:t xml:space="preserve"> </w:t>
      </w:r>
      <w:r>
        <w:t xml:space="preserve">The two-user test (AC-5) is identical under both. Security accepted the fallback for the pilot only. Production requires Cognito or AutoSure’s IdP.</w:t>
      </w:r>
    </w:p>
    <w:bookmarkEnd w:id="78"/>
    <w:bookmarkStart w:id="79" w:name="Xd8f9226a505f679ede597016f01d8d173ca83be"/>
    <w:p>
      <w:pPr>
        <w:pStyle w:val="Heading2"/>
      </w:pPr>
      <w:r>
        <w:t xml:space="preserve">DEC-013 · Data minimisation in the tool contract</w:t>
      </w:r>
    </w:p>
    <w:p>
      <w:pPr>
        <w:pStyle w:val="FirstParagraph"/>
      </w:pPr>
      <w:r>
        <w:rPr>
          <w:b/>
          <w:bCs/>
        </w:rPr>
        <w:t xml:space="preserve">Status:</w:t>
      </w:r>
      <w:r>
        <w:t xml:space="preserve"> </w:t>
      </w:r>
      <w:r>
        <w:t xml:space="preserve">Accepted · 2026-10-08 · Marcus Chen</w:t>
      </w:r>
    </w:p>
    <w:p>
      <w:pPr>
        <w:pStyle w:val="BodyText"/>
      </w:pPr>
      <w:r>
        <w:rPr>
          <w:b/>
          <w:bCs/>
        </w:rPr>
        <w:t xml:space="preserve">Decision.</w:t>
      </w:r>
      <w:r>
        <w:t xml:space="preserve"> </w:t>
      </w:r>
      <w:r>
        <w:t xml:space="preserve">(a)</w:t>
      </w:r>
      <w:r>
        <w:t xml:space="preserve"> </w:t>
      </w:r>
      <w:r>
        <w:rPr>
          <w:rStyle w:val="VerbatimChar"/>
        </w:rPr>
        <w:t xml:space="preserve">holder_first</w:t>
      </w:r>
      <w:r>
        <w:t xml:space="preserve"> </w:t>
      </w:r>
      <w:r>
        <w:t xml:space="preserve">and</w:t>
      </w:r>
      <w:r>
        <w:t xml:space="preserve"> </w:t>
      </w:r>
      <w:r>
        <w:rPr>
          <w:rStyle w:val="VerbatimChar"/>
        </w:rPr>
        <w:t xml:space="preserve">holder_last</w:t>
      </w:r>
      <w:r>
        <w:t xml:space="preserve"> </w:t>
      </w:r>
      <w:r>
        <w:t xml:space="preserve">aren’t in the contract, so no tool can return them. (b) The policy is read with</w:t>
      </w:r>
      <w:r>
        <w:t xml:space="preserve"> </w:t>
      </w:r>
      <w:r>
        <w:rPr>
          <w:rStyle w:val="VerbatimChar"/>
        </w:rPr>
        <w:t xml:space="preserve">policy.get_policy(claim_id)</w:t>
      </w:r>
      <w:r>
        <w:t xml:space="preserve"> </w:t>
      </w:r>
      <w:r>
        <w:t xml:space="preserve">and authorised through that claim. (c)</w:t>
      </w:r>
      <w:r>
        <w:t xml:space="preserve"> </w:t>
      </w:r>
      <w:r>
        <w:rPr>
          <w:rStyle w:val="VerbatimChar"/>
        </w:rPr>
        <w:t xml:space="preserve">FORBIDDEN</w:t>
      </w:r>
      <w:r>
        <w:t xml:space="preserve"> </w:t>
      </w:r>
      <w:r>
        <w:t xml:space="preserve">messages never name another user, and the detail goes to the audit log only.</w:t>
      </w:r>
    </w:p>
    <w:p>
      <w:pPr>
        <w:pStyle w:val="BodyText"/>
      </w:pPr>
      <w:r>
        <w:rPr>
          <w:b/>
          <w:bCs/>
        </w:rPr>
        <w:t xml:space="preserve">Why.</w:t>
      </w:r>
      <w:r>
        <w:t xml:space="preserve"> </w:t>
      </w:r>
      <w:r>
        <w:t xml:space="preserve">Each of these closes a path that a</w:t>
      </w:r>
      <w:r>
        <w:t xml:space="preserve"> </w:t>
      </w:r>
      <w:r>
        <w:t xml:space="preserve">“read-only, RBAC-checked”</w:t>
      </w:r>
      <w:r>
        <w:t xml:space="preserve"> </w:t>
      </w:r>
      <w:r>
        <w:t xml:space="preserve">API would otherwise leave open: holder PII reaching a model, browsing any policy by id, and learning colleagues’ assignments from 403 messages.</w:t>
      </w:r>
    </w:p>
    <w:p>
      <w:pPr>
        <w:pStyle w:val="BodyText"/>
      </w:pPr>
      <w:r>
        <w:rPr>
          <w:b/>
          <w:bCs/>
        </w:rPr>
        <w:t xml:space="preserve">Tested by.</w:t>
      </w:r>
      <w:r>
        <w:t xml:space="preserve"> </w:t>
      </w:r>
      <w:r>
        <w:t xml:space="preserve">W4 RBAC matrix (policy through an unreadable claim → 403). W5 leakage cases (the card must not contain a holder name). Contract schema validation (</w:t>
      </w:r>
      <w:r>
        <w:rPr>
          <w:rStyle w:val="VerbatimChar"/>
        </w:rPr>
        <w:t xml:space="preserve">additionalProperties: false</w:t>
      </w:r>
      <w:r>
        <w:t xml:space="preserve">).</w:t>
      </w:r>
    </w:p>
    <w:bookmarkEnd w:id="79"/>
    <w:bookmarkStart w:id="80" w:name="dec-014-commercials"/>
    <w:p>
      <w:pPr>
        <w:pStyle w:val="Heading2"/>
      </w:pPr>
      <w:r>
        <w:t xml:space="preserve">DEC-014 · Commercials</w:t>
      </w:r>
    </w:p>
    <w:p>
      <w:pPr>
        <w:pStyle w:val="FirstParagraph"/>
      </w:pPr>
      <w:r>
        <w:rPr>
          <w:b/>
          <w:bCs/>
        </w:rPr>
        <w:t xml:space="preserve">Status:</w:t>
      </w:r>
      <w:r>
        <w:t xml:space="preserve"> </w:t>
      </w:r>
      <w:r>
        <w:t xml:space="preserve">Proposed → Dana Whitfield and Richard Oyelaran · 2026-10-07</w:t>
      </w:r>
    </w:p>
    <w:p>
      <w:pPr>
        <w:pStyle w:val="BodyText"/>
      </w:pPr>
      <w:r>
        <w:t xml:space="preserve">T&amp;M capped at $64,500 in fees, plus up to $1,500 of pass-through at cost. Reasoning, fee build-up and break-even are in</w:t>
      </w:r>
      <w:r>
        <w:t xml:space="preserve"> </w:t>
      </w:r>
      <w:r>
        <w:rPr>
          <w:rStyle w:val="VerbatimChar"/>
        </w:rPr>
        <w:t xml:space="preserve">03_PRICING_MEMO.md</w:t>
      </w:r>
      <w:r>
        <w:t xml:space="preserve">.</w:t>
      </w:r>
    </w:p>
    <w:p>
      <w:r>
        <w:pict>
          <v:rect style="width:0;height:1.5pt" o:hralign="center" o:hrstd="t" o:hr="t"/>
        </w:pict>
      </w:r>
    </w:p>
    <w:bookmarkEnd w:id="80"/>
    <w:bookmarkStart w:id="81" w:name="week-1-open-questions-closed"/>
    <w:p>
      <w:pPr>
        <w:pStyle w:val="Heading2"/>
      </w:pPr>
      <w:r>
        <w:t xml:space="preserve">Week 1 open questions: closed</w:t>
      </w:r>
    </w:p>
    <w:tbl>
      <w:tblPr>
        <w:tblStyle w:val="Table"/>
        <w:tblW w:type="dxa" w:w="10080"/>
        <w:tblLayout w:type="fixed"/>
        <w:tblLook w:firstRow="1" w:lastRow="0" w:firstColumn="0" w:lastColumn="0" w:noHBand="0" w:noVBand="0" w:val="0020"/>
      </w:tblPr>
      <w:tblGrid>
        <w:gridCol w:w="672"/>
        <w:gridCol w:w="5064"/>
        <w:gridCol w:w="1730"/>
        <w:gridCol w:w="2614"/>
      </w:tblGrid>
      <w:tr>
        <w:trPr>
          <w:tblHeader w:val="on"/>
        </w:trPr>
        <w:tc>
          <w:tcPr>
            <w:tcW w:w="672" w:type="dxa"/>
          </w:tcPr>
          <w:p>
            <w:pPr>
              <w:pStyle w:val="Compact"/>
            </w:pPr>
            <w:r>
              <w:t xml:space="preserve">ID</w:t>
            </w:r>
          </w:p>
        </w:tc>
        <w:tc>
          <w:tcPr>
            <w:tcW w:w="5064" w:type="dxa"/>
          </w:tcPr>
          <w:p>
            <w:pPr>
              <w:pStyle w:val="Compact"/>
            </w:pPr>
            <w:r>
              <w:t xml:space="preserve">Answer</w:t>
            </w:r>
          </w:p>
        </w:tc>
        <w:tc>
          <w:tcPr>
            <w:tcW w:w="1730" w:type="dxa"/>
          </w:tcPr>
          <w:p>
            <w:pPr>
              <w:pStyle w:val="Compact"/>
            </w:pPr>
            <w:r>
              <w:t xml:space="preserve">By</w:t>
            </w:r>
          </w:p>
        </w:tc>
        <w:tc>
          <w:tcPr>
            <w:tcW w:w="2614" w:type="dxa"/>
          </w:tcPr>
          <w:p>
            <w:pPr>
              <w:pStyle w:val="Compact"/>
            </w:pPr>
            <w:r>
              <w:t xml:space="preserve">Effect</w:t>
            </w:r>
          </w:p>
        </w:tc>
      </w:tr>
      <w:tr>
        <w:tc>
          <w:tcPr>
            <w:tcW w:w="672" w:type="dxa"/>
          </w:tcPr>
          <w:p>
            <w:pPr>
              <w:pStyle w:val="Compact"/>
            </w:pPr>
            <w:r>
              <w:t xml:space="preserve">Q-01</w:t>
            </w:r>
          </w:p>
        </w:tc>
        <w:tc>
          <w:tcPr>
            <w:tcW w:w="5064" w:type="dxa"/>
          </w:tcPr>
          <w:p>
            <w:pPr>
              <w:pStyle w:val="Compact"/>
            </w:pPr>
            <w:r>
              <w:t xml:space="preserve">Coverage before total loss</w:t>
            </w:r>
          </w:p>
        </w:tc>
        <w:tc>
          <w:tcPr>
            <w:tcW w:w="1730" w:type="dxa"/>
          </w:tcPr>
          <w:p>
            <w:pPr>
              <w:pStyle w:val="Compact"/>
            </w:pPr>
            <w:r>
              <w:t xml:space="preserve">Bob Reyes, 2026-10-06</w:t>
            </w:r>
          </w:p>
        </w:tc>
        <w:tc>
          <w:tcPr>
            <w:tcW w:w="2614" w:type="dxa"/>
          </w:tcPr>
          <w:p>
            <w:pPr>
              <w:pStyle w:val="Compact"/>
            </w:pPr>
            <w:r>
              <w:t xml:space="preserve">DEC-009; CLM-2024-3114 → W2-D06</w:t>
            </w:r>
            <w:r>
              <w:t xml:space="preserve"> </w:t>
            </w:r>
            <w:r>
              <w:rPr>
                <w:rStyle w:val="VerbatimChar"/>
              </w:rPr>
              <w:t xml:space="preserve">deny</w:t>
            </w:r>
          </w:p>
        </w:tc>
      </w:tr>
      <w:tr>
        <w:tc>
          <w:tcPr>
            <w:tcW w:w="672" w:type="dxa"/>
          </w:tcPr>
          <w:p>
            <w:pPr>
              <w:pStyle w:val="Compact"/>
            </w:pPr>
            <w:r>
              <w:t xml:space="preserve">Q-02</w:t>
            </w:r>
          </w:p>
        </w:tc>
        <w:tc>
          <w:tcPr>
            <w:tcW w:w="5064" w:type="dxa"/>
          </w:tcPr>
          <w:p>
            <w:pPr>
              <w:pStyle w:val="Compact"/>
            </w:pPr>
            <w:r>
              <w:t xml:space="preserve">Hit-and-run with no police report:</w:t>
            </w:r>
            <w:r>
              <w:t xml:space="preserve"> </w:t>
            </w:r>
            <w:r>
              <w:rPr>
                <w:rStyle w:val="VerbatimChar"/>
              </w:rPr>
              <w:t xml:space="preserve">flag_review</w:t>
            </w:r>
            <w:r>
              <w:t xml:space="preserve">, request the report, approve once filed.</w:t>
            </w:r>
            <w:r>
              <w:t xml:space="preserve"> </w:t>
            </w:r>
            <w:r>
              <w:t xml:space="preserve">“Reasonable proof of loss”</w:t>
            </w:r>
            <w:r>
              <w:t xml:space="preserve"> </w:t>
            </w:r>
            <w:r>
              <w:t xml:space="preserve">(CLS-DOC-009) isn’t met by a photo of a parked car</w:t>
            </w:r>
          </w:p>
        </w:tc>
        <w:tc>
          <w:tcPr>
            <w:tcW w:w="1730" w:type="dxa"/>
          </w:tcPr>
          <w:p>
            <w:pPr>
              <w:pStyle w:val="Compact"/>
            </w:pPr>
            <w:r>
              <w:t xml:space="preserve">Bob Reyes, 2026-10-06</w:t>
            </w:r>
          </w:p>
        </w:tc>
        <w:tc>
          <w:tcPr>
            <w:tcW w:w="2614" w:type="dxa"/>
          </w:tcPr>
          <w:p>
            <w:pPr>
              <w:pStyle w:val="Compact"/>
            </w:pPr>
            <w:r>
              <w:t xml:space="preserve">CLM-2024-2165 →</w:t>
            </w:r>
            <w:r>
              <w:t xml:space="preserve"> </w:t>
            </w:r>
            <w:r>
              <w:rPr>
                <w:b/>
                <w:bCs/>
              </w:rPr>
              <w:t xml:space="preserve">W2-F06</w:t>
            </w:r>
            <w:r>
              <w:t xml:space="preserve"> </w:t>
            </w:r>
            <w:r>
              <w:rPr>
                <w:rStyle w:val="VerbatimChar"/>
              </w:rPr>
              <w:t xml:space="preserve">flag_review</w:t>
            </w:r>
            <w:r>
              <w:t xml:space="preserve">, citing CLS-DOC-009 and CLS-COLL-001</w:t>
            </w:r>
          </w:p>
        </w:tc>
      </w:tr>
      <w:tr>
        <w:tc>
          <w:tcPr>
            <w:tcW w:w="672" w:type="dxa"/>
          </w:tcPr>
          <w:p>
            <w:pPr>
              <w:pStyle w:val="Compact"/>
            </w:pPr>
            <w:r>
              <w:t xml:space="preserve">Q-03</w:t>
            </w:r>
          </w:p>
        </w:tc>
        <w:tc>
          <w:tcPr>
            <w:tcW w:w="5064" w:type="dxa"/>
          </w:tcPr>
          <w:p>
            <w:pPr>
              <w:pStyle w:val="Compact"/>
            </w:pPr>
            <w:r>
              <w:t xml:space="preserve">Deductible by loss category per CLS-COMP-002</w:t>
            </w:r>
          </w:p>
        </w:tc>
        <w:tc>
          <w:tcPr>
            <w:tcW w:w="1730" w:type="dxa"/>
          </w:tcPr>
          <w:p>
            <w:pPr>
              <w:pStyle w:val="Compact"/>
            </w:pPr>
            <w:r>
              <w:t xml:space="preserve">Grace Liu, 2026-10-06</w:t>
            </w:r>
          </w:p>
        </w:tc>
        <w:tc>
          <w:tcPr>
            <w:tcW w:w="2614" w:type="dxa"/>
          </w:tcPr>
          <w:p>
            <w:pPr>
              <w:pStyle w:val="Compact"/>
            </w:pPr>
            <w:r>
              <w:t xml:space="preserve">DEC-010</w:t>
            </w:r>
          </w:p>
        </w:tc>
      </w:tr>
      <w:tr>
        <w:tc>
          <w:tcPr>
            <w:tcW w:w="672" w:type="dxa"/>
          </w:tcPr>
          <w:p>
            <w:pPr>
              <w:pStyle w:val="Compact"/>
            </w:pPr>
            <w:r>
              <w:t xml:space="preserve">Q-04</w:t>
            </w:r>
          </w:p>
        </w:tc>
        <w:tc>
          <w:tcPr>
            <w:tcW w:w="5064" w:type="dxa"/>
          </w:tcPr>
          <w:p>
            <w:pPr>
              <w:pStyle w:val="Compact"/>
            </w:pPr>
            <w:r>
              <w:t xml:space="preserve">Vendor score: nightly batch, model card received, known weakness on policies under 90 days old</w:t>
            </w:r>
          </w:p>
        </w:tc>
        <w:tc>
          <w:tcPr>
            <w:tcW w:w="1730" w:type="dxa"/>
          </w:tcPr>
          <w:p>
            <w:pPr>
              <w:pStyle w:val="Compact"/>
            </w:pPr>
            <w:r>
              <w:t xml:space="preserve">Carol Dimas, 2026-10-07</w:t>
            </w:r>
          </w:p>
        </w:tc>
        <w:tc>
          <w:tcPr>
            <w:tcW w:w="2614" w:type="dxa"/>
          </w:tcPr>
          <w:p>
            <w:pPr>
              <w:pStyle w:val="Compact"/>
            </w:pPr>
            <w:r>
              <w:t xml:space="preserve">Score stays an input; W5 adds a new-policy low-score case</w:t>
            </w:r>
          </w:p>
        </w:tc>
      </w:tr>
      <w:tr>
        <w:tc>
          <w:tcPr>
            <w:tcW w:w="672" w:type="dxa"/>
          </w:tcPr>
          <w:p>
            <w:pPr>
              <w:pStyle w:val="Compact"/>
            </w:pPr>
            <w:r>
              <w:t xml:space="preserve">Q-05</w:t>
            </w:r>
          </w:p>
        </w:tc>
        <w:tc>
          <w:tcPr>
            <w:tcW w:w="5064" w:type="dxa"/>
          </w:tcPr>
          <w:p>
            <w:pPr>
              <w:pStyle w:val="Compact"/>
            </w:pPr>
            <w:r>
              <w:t xml:space="preserve">Injury →</w:t>
            </w:r>
            <w:r>
              <w:t xml:space="preserve"> </w:t>
            </w:r>
            <w:r>
              <w:rPr>
                <w:rStyle w:val="VerbatimChar"/>
              </w:rPr>
              <w:t xml:space="preserve">flag_review</w:t>
            </w:r>
            <w:r>
              <w:t xml:space="preserve">, next step</w:t>
            </w:r>
            <w:r>
              <w:t xml:space="preserve"> </w:t>
            </w:r>
            <w:r>
              <w:t xml:space="preserve">“assign an injury-qualified adjuster”</w:t>
            </w:r>
            <w:r>
              <w:t xml:space="preserve"> </w:t>
            </w:r>
            <w:r>
              <w:t xml:space="preserve">(in CMS: Escalated, picked up by the injury desk). First answer</w:t>
            </w:r>
            <w:r>
              <w:t xml:space="preserve"> </w:t>
            </w:r>
            <w:r>
              <w:t xml:space="preserve">“route_specialist”</w:t>
            </w:r>
            <w:r>
              <w:t xml:space="preserve"> </w:t>
            </w:r>
            <w:r>
              <w:t xml:space="preserve">corrected 2026-10-08 after the dry run</w:t>
            </w:r>
          </w:p>
        </w:tc>
        <w:tc>
          <w:tcPr>
            <w:tcW w:w="1730" w:type="dxa"/>
          </w:tcPr>
          <w:p>
            <w:pPr>
              <w:pStyle w:val="Compact"/>
            </w:pPr>
            <w:r>
              <w:t xml:space="preserve">Bob Reyes, 2026-10-06 / 10-08</w:t>
            </w:r>
          </w:p>
        </w:tc>
        <w:tc>
          <w:tcPr>
            <w:tcW w:w="2614" w:type="dxa"/>
          </w:tcPr>
          <w:p>
            <w:pPr>
              <w:pStyle w:val="Compact"/>
            </w:pPr>
            <w:r>
              <w:t xml:space="preserve">DEC-009 step 4; W1-F03 label unchanged</w:t>
            </w:r>
          </w:p>
        </w:tc>
      </w:tr>
      <w:tr>
        <w:tc>
          <w:tcPr>
            <w:tcW w:w="672" w:type="dxa"/>
          </w:tcPr>
          <w:p>
            <w:pPr>
              <w:pStyle w:val="Compact"/>
            </w:pPr>
            <w:r>
              <w:t xml:space="preserve">Q-06</w:t>
            </w:r>
          </w:p>
        </w:tc>
        <w:tc>
          <w:tcPr>
            <w:tcW w:w="5064" w:type="dxa"/>
          </w:tcPr>
          <w:p>
            <w:pPr>
              <w:pStyle w:val="Compact"/>
            </w:pPr>
            <w:r>
              <w:t xml:space="preserve">CMS report, Apr–Sep: 3,880 claims/month, 64 min average first decision. The SoW and pricing use these</w:t>
            </w:r>
          </w:p>
        </w:tc>
        <w:tc>
          <w:tcPr>
            <w:tcW w:w="1730" w:type="dxa"/>
          </w:tcPr>
          <w:p>
            <w:pPr>
              <w:pStyle w:val="Compact"/>
            </w:pPr>
            <w:r>
              <w:t xml:space="preserve">Dana Whitfield, 2026-10-06</w:t>
            </w:r>
          </w:p>
        </w:tc>
        <w:tc>
          <w:tcPr>
            <w:tcW w:w="2614" w:type="dxa"/>
          </w:tcPr>
          <w:p>
            <w:pPr>
              <w:pStyle w:val="Compact"/>
            </w:pPr>
            <w:r>
              <w:t xml:space="preserve">Pricing memo break-even</w:t>
            </w:r>
          </w:p>
        </w:tc>
      </w:tr>
      <w:tr>
        <w:tc>
          <w:tcPr>
            <w:tcW w:w="672" w:type="dxa"/>
          </w:tcPr>
          <w:p>
            <w:pPr>
              <w:pStyle w:val="Compact"/>
            </w:pPr>
            <w:r>
              <w:t xml:space="preserve">Q-07</w:t>
            </w:r>
          </w:p>
        </w:tc>
        <w:tc>
          <w:tcPr>
            <w:tcW w:w="5064" w:type="dxa"/>
          </w:tcPr>
          <w:p>
            <w:pPr>
              <w:pStyle w:val="Compact"/>
            </w:pPr>
            <w:r>
              <w:t xml:space="preserve">Rental reimbursement is out of scope</w:t>
            </w:r>
          </w:p>
        </w:tc>
        <w:tc>
          <w:tcPr>
            <w:tcW w:w="1730" w:type="dxa"/>
          </w:tcPr>
          <w:p>
            <w:pPr>
              <w:pStyle w:val="Compact"/>
            </w:pPr>
            <w:r>
              <w:t xml:space="preserve">Dana Whitfield, 2026-10-06</w:t>
            </w:r>
          </w:p>
        </w:tc>
        <w:tc>
          <w:tcPr>
            <w:tcW w:w="2614" w:type="dxa"/>
          </w:tcPr>
          <w:p>
            <w:pPr>
              <w:pStyle w:val="Compact"/>
            </w:pPr>
            <w:r>
              <w:t xml:space="preserve">SoW §3</w:t>
            </w:r>
          </w:p>
        </w:tc>
      </w:tr>
    </w:tbl>
    <w:bookmarkEnd w:id="81"/>
    <w:bookmarkStart w:id="82" w:name="new-open-questions"/>
    <w:p>
      <w:pPr>
        <w:pStyle w:val="Heading2"/>
      </w:pPr>
      <w:r>
        <w:t xml:space="preserve">New open questions</w:t>
      </w:r>
    </w:p>
    <w:tbl>
      <w:tblPr>
        <w:tblStyle w:val="Table"/>
        <w:tblW w:type="dxa" w:w="10080"/>
        <w:tblLayout w:type="fixed"/>
        <w:tblLook w:firstRow="1" w:lastRow="0" w:firstColumn="0" w:lastColumn="0" w:noHBand="0" w:noVBand="0" w:val="0020"/>
      </w:tblPr>
      <w:tblGrid>
        <w:gridCol w:w="720"/>
        <w:gridCol w:w="6018"/>
        <w:gridCol w:w="1604"/>
        <w:gridCol w:w="1738"/>
      </w:tblGrid>
      <w:tr>
        <w:trPr>
          <w:tblHeader w:val="on"/>
        </w:trPr>
        <w:tc>
          <w:tcPr>
            <w:tcW w:w="720" w:type="dxa"/>
          </w:tcPr>
          <w:p>
            <w:pPr>
              <w:pStyle w:val="Compact"/>
            </w:pPr>
            <w:r>
              <w:t xml:space="preserve">ID</w:t>
            </w:r>
          </w:p>
        </w:tc>
        <w:tc>
          <w:tcPr>
            <w:tcW w:w="6018" w:type="dxa"/>
          </w:tcPr>
          <w:p>
            <w:pPr>
              <w:pStyle w:val="Compact"/>
            </w:pPr>
            <w:r>
              <w:t xml:space="preserve">Question</w:t>
            </w:r>
          </w:p>
        </w:tc>
        <w:tc>
          <w:tcPr>
            <w:tcW w:w="1604" w:type="dxa"/>
          </w:tcPr>
          <w:p>
            <w:pPr>
              <w:pStyle w:val="Compact"/>
            </w:pPr>
            <w:r>
              <w:t xml:space="preserve">Owner</w:t>
            </w:r>
          </w:p>
        </w:tc>
        <w:tc>
          <w:tcPr>
            <w:tcW w:w="1738" w:type="dxa"/>
          </w:tcPr>
          <w:p>
            <w:pPr>
              <w:pStyle w:val="Compact"/>
            </w:pPr>
            <w:r>
              <w:t xml:space="preserve">Needed by</w:t>
            </w:r>
          </w:p>
        </w:tc>
      </w:tr>
      <w:tr>
        <w:tc>
          <w:tcPr>
            <w:tcW w:w="720" w:type="dxa"/>
          </w:tcPr>
          <w:p>
            <w:pPr>
              <w:pStyle w:val="Compact"/>
            </w:pPr>
            <w:r>
              <w:t xml:space="preserve">Q-08</w:t>
            </w:r>
          </w:p>
        </w:tc>
        <w:tc>
          <w:tcPr>
            <w:tcW w:w="6018" w:type="dxa"/>
          </w:tcPr>
          <w:p>
            <w:pPr>
              <w:pStyle w:val="Compact"/>
            </w:pPr>
            <w:r>
              <w:rPr>
                <w:rStyle w:val="VerbatimChar"/>
              </w:rPr>
              <w:t xml:space="preserve">liability_limit</w:t>
            </w:r>
            <w:r>
              <w:t xml:space="preserve"> </w:t>
            </w:r>
            <w:r>
              <w:t xml:space="preserve">“300000/100000”</w:t>
            </w:r>
            <w:r>
              <w:t xml:space="preserve">: which number is per person, per accident, or property damage? It is unused in the pilot but needed before liability is in scope</w:t>
            </w:r>
          </w:p>
        </w:tc>
        <w:tc>
          <w:tcPr>
            <w:tcW w:w="1604" w:type="dxa"/>
          </w:tcPr>
          <w:p>
            <w:pPr>
              <w:pStyle w:val="Compact"/>
            </w:pPr>
            <w:r>
              <w:t xml:space="preserve">Grace Liu</w:t>
            </w:r>
          </w:p>
        </w:tc>
        <w:tc>
          <w:tcPr>
            <w:tcW w:w="1738" w:type="dxa"/>
          </w:tcPr>
          <w:p>
            <w:pPr>
              <w:pStyle w:val="Compact"/>
            </w:pPr>
            <w:r>
              <w:t xml:space="preserve">Before any liability scope</w:t>
            </w:r>
          </w:p>
        </w:tc>
      </w:tr>
      <w:tr>
        <w:tc>
          <w:tcPr>
            <w:tcW w:w="720" w:type="dxa"/>
          </w:tcPr>
          <w:p>
            <w:pPr>
              <w:pStyle w:val="Compact"/>
            </w:pPr>
            <w:r>
              <w:t xml:space="preserve">Q-09</w:t>
            </w:r>
          </w:p>
        </w:tc>
        <w:tc>
          <w:tcPr>
            <w:tcW w:w="6018" w:type="dxa"/>
          </w:tcPr>
          <w:p>
            <w:pPr>
              <w:pStyle w:val="Compact"/>
            </w:pPr>
            <w:r>
              <w:t xml:space="preserve">Loaded adjuster cost per hour for the break-even line (memo assumes $48)</w:t>
            </w:r>
          </w:p>
        </w:tc>
        <w:tc>
          <w:tcPr>
            <w:tcW w:w="1604" w:type="dxa"/>
          </w:tcPr>
          <w:p>
            <w:pPr>
              <w:pStyle w:val="Compact"/>
            </w:pPr>
            <w:r>
              <w:t xml:space="preserve">Dana Whitfield / CFO</w:t>
            </w:r>
          </w:p>
        </w:tc>
        <w:tc>
          <w:tcPr>
            <w:tcW w:w="1738" w:type="dxa"/>
          </w:tcPr>
          <w:p>
            <w:pPr>
              <w:pStyle w:val="Compact"/>
            </w:pPr>
            <w:r>
              <w:t xml:space="preserve">W5 report</w:t>
            </w:r>
          </w:p>
        </w:tc>
      </w:tr>
      <w:tr>
        <w:tc>
          <w:tcPr>
            <w:tcW w:w="720" w:type="dxa"/>
          </w:tcPr>
          <w:p>
            <w:pPr>
              <w:pStyle w:val="Compact"/>
            </w:pPr>
            <w:r>
              <w:t xml:space="preserve">Q-10</w:t>
            </w:r>
          </w:p>
        </w:tc>
        <w:tc>
          <w:tcPr>
            <w:tcW w:w="6018" w:type="dxa"/>
          </w:tcPr>
          <w:p>
            <w:pPr>
              <w:pStyle w:val="Compact"/>
            </w:pPr>
            <w:r>
              <w:t xml:space="preserve">Can the lab or production account allow Cognito, so the DEC-012 fallback isn’t needed in W4?</w:t>
            </w:r>
          </w:p>
        </w:tc>
        <w:tc>
          <w:tcPr>
            <w:tcW w:w="1604" w:type="dxa"/>
          </w:tcPr>
          <w:p>
            <w:pPr>
              <w:pStyle w:val="Compact"/>
            </w:pPr>
            <w:r>
              <w:t xml:space="preserve">Tom Ngata</w:t>
            </w:r>
          </w:p>
        </w:tc>
        <w:tc>
          <w:tcPr>
            <w:tcW w:w="1738" w:type="dxa"/>
          </w:tcPr>
          <w:p>
            <w:pPr>
              <w:pStyle w:val="Compact"/>
            </w:pPr>
            <w:r>
              <w:t xml:space="preserve">W4 Mon</w:t>
            </w:r>
          </w:p>
        </w:tc>
      </w:tr>
    </w:tbl>
    <w:bookmarkEnd w:id="82"/>
    <w:bookmarkEnd w:id="83"/>
    <w:bookmarkStart w:id="87" w:name="appendix-b-validation-report"/>
    <w:p>
      <w:pPr>
        <w:pStyle w:val="Heading1"/>
      </w:pPr>
      <w:r>
        <w:t xml:space="preserve">Appendix B · Validation report</w:t>
      </w:r>
    </w:p>
    <w:p>
      <w:pPr>
        <w:pStyle w:val="FirstParagraph"/>
      </w:pPr>
      <w:r>
        <w:t xml:space="preserve">Generated by</w:t>
      </w:r>
      <w:r>
        <w:t xml:space="preserve"> </w:t>
      </w:r>
      <w:r>
        <w:rPr>
          <w:rStyle w:val="VerbatimChar"/>
        </w:rPr>
        <w:t xml:space="preserve">week2-milestone/build.py</w:t>
      </w:r>
      <w:r>
        <w:t xml:space="preserve">. Fixtures are converted with the rules in</w:t>
      </w:r>
      <w:r>
        <w:t xml:space="preserve"> </w:t>
      </w:r>
      <w:r>
        <w:rPr>
          <w:rStyle w:val="VerbatimChar"/>
        </w:rPr>
        <w:t xml:space="preserve">06_SYNTHETIC_DATA_SHAPES.md</w:t>
      </w:r>
      <w:r>
        <w:t xml:space="preserve"> </w:t>
      </w:r>
      <w:r>
        <w:t xml:space="preserve">and validated against</w:t>
      </w:r>
      <w:r>
        <w:t xml:space="preserve"> </w:t>
      </w:r>
      <w:r>
        <w:rPr>
          <w:rStyle w:val="VerbatimChar"/>
        </w:rPr>
        <w:t xml:space="preserve">contract/mcp_tools.schema.json</w:t>
      </w:r>
      <w:r>
        <w:t xml:space="preserve">.</w:t>
      </w:r>
    </w:p>
    <w:bookmarkStart w:id="84" w:name="fixtures-against-the-contract-schema"/>
    <w:p>
      <w:pPr>
        <w:pStyle w:val="Heading2"/>
      </w:pPr>
      <w:r>
        <w:t xml:space="preserve">1. Fixtures against the contract schema</w:t>
      </w:r>
    </w:p>
    <w:tbl>
      <w:tblPr>
        <w:tblStyle w:val="Table"/>
        <w:tblW w:type="auto" w:w="0"/>
        <w:tblLook w:firstRow="1" w:lastRow="0" w:firstColumn="0" w:lastColumn="0" w:noHBand="0" w:noVBand="0" w:val="0020"/>
      </w:tblPr>
      <w:tblGrid>
        <w:gridCol w:w="6701"/>
        <w:gridCol w:w="1555"/>
        <w:gridCol w:w="1824"/>
      </w:tblGrid>
      <w:tr>
        <w:trPr>
          <w:tblHeader w:val="on"/>
        </w:trPr>
        <w:tc>
          <w:tcPr>
            <w:tcW w:w="6701" w:type="dxa"/>
          </w:tcPr>
          <w:p>
            <w:pPr>
              <w:pStyle w:val="Compact"/>
            </w:pPr>
            <w:r>
              <w:t xml:space="preserve">Record</w:t>
            </w:r>
          </w:p>
        </w:tc>
        <w:tc>
          <w:tcPr>
            <w:tcW w:w="1555" w:type="dxa"/>
          </w:tcPr>
          <w:p>
            <w:pPr>
              <w:pStyle w:val="Compact"/>
            </w:pPr>
            <w:r>
              <w:t xml:space="preserve">Rows</w:t>
            </w:r>
          </w:p>
        </w:tc>
        <w:tc>
          <w:tcPr>
            <w:tcW w:w="1824" w:type="dxa"/>
          </w:tcPr>
          <w:p>
            <w:pPr>
              <w:pStyle w:val="Compact"/>
            </w:pPr>
            <w:r>
              <w:t xml:space="preserve">Valid</w:t>
            </w:r>
          </w:p>
        </w:tc>
      </w:tr>
      <w:tr>
        <w:tc>
          <w:tcPr>
            <w:tcW w:w="6701" w:type="dxa"/>
          </w:tcPr>
          <w:p>
            <w:pPr>
              <w:pStyle w:val="Compact"/>
            </w:pPr>
            <w:r>
              <w:t xml:space="preserve">Claim</w:t>
            </w:r>
          </w:p>
        </w:tc>
        <w:tc>
          <w:tcPr>
            <w:tcW w:w="1555" w:type="dxa"/>
          </w:tcPr>
          <w:p>
            <w:pPr>
              <w:pStyle w:val="Compact"/>
            </w:pPr>
            <w:r>
              <w:t xml:space="preserve">20</w:t>
            </w:r>
          </w:p>
        </w:tc>
        <w:tc>
          <w:tcPr>
            <w:tcW w:w="1824" w:type="dxa"/>
          </w:tcPr>
          <w:p>
            <w:pPr>
              <w:pStyle w:val="Compact"/>
            </w:pPr>
            <w:r>
              <w:t xml:space="preserve">20</w:t>
            </w:r>
          </w:p>
        </w:tc>
      </w:tr>
      <w:tr>
        <w:tc>
          <w:tcPr>
            <w:tcW w:w="6701" w:type="dxa"/>
          </w:tcPr>
          <w:p>
            <w:pPr>
              <w:pStyle w:val="Compact"/>
            </w:pPr>
            <w:r>
              <w:t xml:space="preserve">Policy (holder name dropped)</w:t>
            </w:r>
          </w:p>
        </w:tc>
        <w:tc>
          <w:tcPr>
            <w:tcW w:w="1555" w:type="dxa"/>
          </w:tcPr>
          <w:p>
            <w:pPr>
              <w:pStyle w:val="Compact"/>
            </w:pPr>
            <w:r>
              <w:t xml:space="preserve">15</w:t>
            </w:r>
          </w:p>
        </w:tc>
        <w:tc>
          <w:tcPr>
            <w:tcW w:w="1824" w:type="dxa"/>
          </w:tcPr>
          <w:p>
            <w:pPr>
              <w:pStyle w:val="Compact"/>
            </w:pPr>
            <w:r>
              <w:t xml:space="preserve">15</w:t>
            </w:r>
          </w:p>
        </w:tc>
      </w:tr>
      <w:tr>
        <w:tc>
          <w:tcPr>
            <w:tcW w:w="6701" w:type="dxa"/>
          </w:tcPr>
          <w:p>
            <w:pPr>
              <w:pStyle w:val="Compact"/>
            </w:pPr>
            <w:r>
              <w:t xml:space="preserve">Document</w:t>
            </w:r>
          </w:p>
        </w:tc>
        <w:tc>
          <w:tcPr>
            <w:tcW w:w="1555" w:type="dxa"/>
          </w:tcPr>
          <w:p>
            <w:pPr>
              <w:pStyle w:val="Compact"/>
            </w:pPr>
            <w:r>
              <w:t xml:space="preserve">74</w:t>
            </w:r>
          </w:p>
        </w:tc>
        <w:tc>
          <w:tcPr>
            <w:tcW w:w="1824" w:type="dxa"/>
          </w:tcPr>
          <w:p>
            <w:pPr>
              <w:pStyle w:val="Compact"/>
            </w:pPr>
            <w:r>
              <w:t xml:space="preserve">74</w:t>
            </w:r>
          </w:p>
        </w:tc>
      </w:tr>
    </w:tbl>
    <w:p>
      <w:pPr>
        <w:pStyle w:val="BodyText"/>
      </w:pPr>
      <w:r>
        <w:t xml:space="preserve">No schema violations.</w:t>
      </w:r>
    </w:p>
    <w:p>
      <w:pPr>
        <w:pStyle w:val="BodyText"/>
      </w:pPr>
      <w:r>
        <w:t xml:space="preserve">Contract examples: §3.2 get_claim allowed example valid, §3.2 FORBIDDEN example valid</w:t>
      </w:r>
    </w:p>
    <w:bookmarkEnd w:id="84"/>
    <w:bookmarkStart w:id="85" w:name="cross-system-invariants-1"/>
    <w:p>
      <w:pPr>
        <w:pStyle w:val="Heading2"/>
      </w:pPr>
      <w:r>
        <w:t xml:space="preserve">2. Cross-system invariants</w:t>
      </w:r>
    </w:p>
    <w:tbl>
      <w:tblPr>
        <w:tblStyle w:val="Table"/>
        <w:tblW w:type="auto" w:w="0"/>
        <w:tblLook w:firstRow="1" w:lastRow="0" w:firstColumn="0" w:lastColumn="0" w:noHBand="0" w:noVBand="0" w:val="0020"/>
      </w:tblPr>
      <w:tblGrid>
        <w:gridCol w:w="8445"/>
        <w:gridCol w:w="1635"/>
      </w:tblGrid>
      <w:tr>
        <w:trPr>
          <w:tblHeader w:val="on"/>
        </w:trPr>
        <w:tc>
          <w:tcPr>
            <w:tcW w:w="8445" w:type="dxa"/>
          </w:tcPr>
          <w:p>
            <w:pPr>
              <w:pStyle w:val="Compact"/>
            </w:pPr>
            <w:r>
              <w:t xml:space="preserve">Invariant</w:t>
            </w:r>
          </w:p>
        </w:tc>
        <w:tc>
          <w:tcPr>
            <w:tcW w:w="1635" w:type="dxa"/>
          </w:tcPr>
          <w:p>
            <w:pPr>
              <w:pStyle w:val="Compact"/>
            </w:pPr>
            <w:r>
              <w:t xml:space="preserve">Result</w:t>
            </w:r>
          </w:p>
        </w:tc>
      </w:tr>
      <w:tr>
        <w:tc>
          <w:tcPr>
            <w:tcW w:w="8445" w:type="dxa"/>
          </w:tcPr>
          <w:p>
            <w:pPr>
              <w:pStyle w:val="Compact"/>
            </w:pPr>
            <w:r>
              <w:t xml:space="preserve">I-1 claim.policy_id exists</w:t>
            </w:r>
          </w:p>
        </w:tc>
        <w:tc>
          <w:tcPr>
            <w:tcW w:w="1635" w:type="dxa"/>
          </w:tcPr>
          <w:p>
            <w:pPr>
              <w:pStyle w:val="Compact"/>
            </w:pPr>
            <w:r>
              <w:t xml:space="preserve">pass</w:t>
            </w:r>
          </w:p>
        </w:tc>
      </w:tr>
      <w:tr>
        <w:tc>
          <w:tcPr>
            <w:tcW w:w="8445" w:type="dxa"/>
          </w:tcPr>
          <w:p>
            <w:pPr>
              <w:pStyle w:val="Compact"/>
            </w:pPr>
            <w:r>
              <w:t xml:space="preserve">I-2 VIN matches policy</w:t>
            </w:r>
          </w:p>
        </w:tc>
        <w:tc>
          <w:tcPr>
            <w:tcW w:w="1635" w:type="dxa"/>
          </w:tcPr>
          <w:p>
            <w:pPr>
              <w:pStyle w:val="Compact"/>
            </w:pPr>
            <w:r>
              <w:t xml:space="preserve">pass</w:t>
            </w:r>
          </w:p>
        </w:tc>
      </w:tr>
      <w:tr>
        <w:tc>
          <w:tcPr>
            <w:tcW w:w="8445" w:type="dxa"/>
          </w:tcPr>
          <w:p>
            <w:pPr>
              <w:pStyle w:val="Compact"/>
            </w:pPr>
            <w:r>
              <w:t xml:space="preserve">I-3 ACV matches policy</w:t>
            </w:r>
          </w:p>
        </w:tc>
        <w:tc>
          <w:tcPr>
            <w:tcW w:w="1635" w:type="dxa"/>
          </w:tcPr>
          <w:p>
            <w:pPr>
              <w:pStyle w:val="Compact"/>
            </w:pPr>
            <w:r>
              <w:t xml:space="preserve">pass</w:t>
            </w:r>
          </w:p>
        </w:tc>
      </w:tr>
      <w:tr>
        <w:tc>
          <w:tcPr>
            <w:tcW w:w="8445" w:type="dxa"/>
          </w:tcPr>
          <w:p>
            <w:pPr>
              <w:pStyle w:val="Compact"/>
            </w:pPr>
            <w:r>
              <w:t xml:space="preserve">I-4 document.claim_id exists</w:t>
            </w:r>
          </w:p>
        </w:tc>
        <w:tc>
          <w:tcPr>
            <w:tcW w:w="1635" w:type="dxa"/>
          </w:tcPr>
          <w:p>
            <w:pPr>
              <w:pStyle w:val="Compact"/>
            </w:pPr>
            <w:r>
              <w:t xml:space="preserve">pass</w:t>
            </w:r>
          </w:p>
        </w:tc>
      </w:tr>
      <w:tr>
        <w:tc>
          <w:tcPr>
            <w:tcW w:w="8445" w:type="dxa"/>
          </w:tcPr>
          <w:p>
            <w:pPr>
              <w:pStyle w:val="Compact"/>
            </w:pPr>
            <w:r>
              <w:t xml:space="preserve">I-5 no upload before incident</w:t>
            </w:r>
          </w:p>
        </w:tc>
        <w:tc>
          <w:tcPr>
            <w:tcW w:w="1635" w:type="dxa"/>
          </w:tcPr>
          <w:p>
            <w:pPr>
              <w:pStyle w:val="Compact"/>
            </w:pPr>
            <w:r>
              <w:t xml:space="preserve">pass</w:t>
            </w:r>
          </w:p>
        </w:tc>
      </w:tr>
      <w:tr>
        <w:tc>
          <w:tcPr>
            <w:tcW w:w="8445" w:type="dxa"/>
          </w:tcPr>
          <w:p>
            <w:pPr>
              <w:pStyle w:val="Compact"/>
            </w:pPr>
            <w:r>
              <w:t xml:space="preserve">I-6 Liability Only ⇒ no PD cover, null deductibles</w:t>
            </w:r>
          </w:p>
        </w:tc>
        <w:tc>
          <w:tcPr>
            <w:tcW w:w="1635" w:type="dxa"/>
          </w:tcPr>
          <w:p>
            <w:pPr>
              <w:pStyle w:val="Compact"/>
            </w:pPr>
            <w:r>
              <w:t xml:space="preserve">pass</w:t>
            </w:r>
          </w:p>
        </w:tc>
      </w:tr>
      <w:tr>
        <w:tc>
          <w:tcPr>
            <w:tcW w:w="8445" w:type="dxa"/>
          </w:tcPr>
          <w:p>
            <w:pPr>
              <w:pStyle w:val="Compact"/>
            </w:pPr>
            <w:r>
              <w:t xml:space="preserve">I-7 policy_start &lt; policy_end</w:t>
            </w:r>
          </w:p>
        </w:tc>
        <w:tc>
          <w:tcPr>
            <w:tcW w:w="1635" w:type="dxa"/>
          </w:tcPr>
          <w:p>
            <w:pPr>
              <w:pStyle w:val="Compact"/>
            </w:pPr>
            <w:r>
              <w:t xml:space="preserve">pass</w:t>
            </w:r>
          </w:p>
        </w:tc>
      </w:tr>
      <w:tr>
        <w:tc>
          <w:tcPr>
            <w:tcW w:w="8445" w:type="dxa"/>
          </w:tcPr>
          <w:p>
            <w:pPr>
              <w:pStyle w:val="Compact"/>
            </w:pPr>
            <w:r>
              <w:t xml:space="preserve">I-8 exactly one FNOL per claim</w:t>
            </w:r>
          </w:p>
        </w:tc>
        <w:tc>
          <w:tcPr>
            <w:tcW w:w="1635" w:type="dxa"/>
          </w:tcPr>
          <w:p>
            <w:pPr>
              <w:pStyle w:val="Compact"/>
            </w:pPr>
            <w:r>
              <w:t xml:space="preserve">pass</w:t>
            </w:r>
          </w:p>
        </w:tc>
      </w:tr>
      <w:tr>
        <w:tc>
          <w:tcPr>
            <w:tcW w:w="8445" w:type="dxa"/>
          </w:tcPr>
          <w:p>
            <w:pPr>
              <w:pStyle w:val="Compact"/>
            </w:pPr>
            <w:r>
              <w:t xml:space="preserve">I-9 incident_type maps to loss_category</w:t>
            </w:r>
          </w:p>
        </w:tc>
        <w:tc>
          <w:tcPr>
            <w:tcW w:w="1635" w:type="dxa"/>
          </w:tcPr>
          <w:p>
            <w:pPr>
              <w:pStyle w:val="Compact"/>
            </w:pPr>
            <w:r>
              <w:t xml:space="preserve">pass</w:t>
            </w:r>
          </w:p>
        </w:tc>
      </w:tr>
      <w:tr>
        <w:tc>
          <w:tcPr>
            <w:tcW w:w="8445" w:type="dxa"/>
          </w:tcPr>
          <w:p>
            <w:pPr>
              <w:pStyle w:val="Compact"/>
            </w:pPr>
            <w:r>
              <w:t xml:space="preserve">I-10 users known to the identity pool</w:t>
            </w:r>
          </w:p>
        </w:tc>
        <w:tc>
          <w:tcPr>
            <w:tcW w:w="1635" w:type="dxa"/>
          </w:tcPr>
          <w:p>
            <w:pPr>
              <w:pStyle w:val="Compact"/>
            </w:pPr>
            <w:r>
              <w:t xml:space="preserve">pass</w:t>
            </w:r>
          </w:p>
        </w:tc>
      </w:tr>
    </w:tbl>
    <w:bookmarkEnd w:id="85"/>
    <w:bookmarkStart w:id="86" w:name="Xcde5ee6ad64299902d532be8e578c5a99ee2e2b"/>
    <w:p>
      <w:pPr>
        <w:pStyle w:val="Heading2"/>
      </w:pPr>
      <w:r>
        <w:t xml:space="preserve">3. DEC-009 gate order over the eval cases (no model)</w:t>
      </w:r>
    </w:p>
    <w:p>
      <w:pPr>
        <w:pStyle w:val="FirstParagraph"/>
      </w:pPr>
      <w:r>
        <w:rPr>
          <w:b/>
          <w:bCs/>
        </w:rPr>
        <w:t xml:space="preserve">Agreement: 21/22.</w:t>
      </w:r>
      <w:r>
        <w:t xml:space="preserve"> </w:t>
      </w:r>
      <w:r>
        <w:t xml:space="preserve">Net payable with the ACV cap and the deductible by loss category (DEC-010):</w:t>
      </w:r>
      <w:r>
        <w:t xml:space="preserve"> </w:t>
      </w:r>
      <w:r>
        <w:rPr>
          <w:b/>
          <w:bCs/>
        </w:rPr>
        <w:t xml:space="preserve">14/15</w:t>
      </w:r>
      <w:r>
        <w:t xml:space="preserve"> </w:t>
      </w:r>
      <w:r>
        <w:t xml:space="preserve">match.</w:t>
      </w:r>
    </w:p>
    <w:tbl>
      <w:tblPr>
        <w:tblStyle w:val="Table"/>
        <w:tblW w:type="dxa" w:w="10080"/>
        <w:tblLayout w:type="fixed"/>
        <w:tblLook w:firstRow="1" w:lastRow="0" w:firstColumn="0" w:lastColumn="0" w:noHBand="0" w:noVBand="0" w:val="0020"/>
      </w:tblPr>
      <w:tblGrid>
        <w:gridCol w:w="900"/>
        <w:gridCol w:w="1710"/>
        <w:gridCol w:w="1982"/>
        <w:gridCol w:w="1979"/>
        <w:gridCol w:w="1742"/>
        <w:gridCol w:w="734"/>
        <w:gridCol w:w="1033"/>
      </w:tblGrid>
      <w:tr>
        <w:trPr>
          <w:tblHeader w:val="on"/>
        </w:trPr>
        <w:tc>
          <w:tcPr>
            <w:tcW w:w="900" w:type="dxa"/>
          </w:tcPr>
          <w:p>
            <w:pPr>
              <w:pStyle w:val="Compact"/>
            </w:pPr>
            <w:r>
              <w:t xml:space="preserve">Case</w:t>
            </w:r>
          </w:p>
        </w:tc>
        <w:tc>
          <w:tcPr>
            <w:tcW w:w="1710" w:type="dxa"/>
          </w:tcPr>
          <w:p>
            <w:pPr>
              <w:pStyle w:val="Compact"/>
            </w:pPr>
            <w:r>
              <w:t xml:space="preserve">Claim</w:t>
            </w:r>
          </w:p>
        </w:tc>
        <w:tc>
          <w:tcPr>
            <w:tcW w:w="1982" w:type="dxa"/>
          </w:tcPr>
          <w:p>
            <w:pPr>
              <w:pStyle w:val="Compact"/>
            </w:pPr>
            <w:r>
              <w:t xml:space="preserve">Expected</w:t>
            </w:r>
          </w:p>
        </w:tc>
        <w:tc>
          <w:tcPr>
            <w:tcW w:w="1979" w:type="dxa"/>
          </w:tcPr>
          <w:p>
            <w:pPr>
              <w:pStyle w:val="Compact"/>
            </w:pPr>
            <w:r>
              <w:t xml:space="preserve">Gates say</w:t>
            </w:r>
          </w:p>
        </w:tc>
        <w:tc>
          <w:tcPr>
            <w:tcW w:w="1742" w:type="dxa"/>
          </w:tcPr>
          <w:p>
            <w:pPr>
              <w:pStyle w:val="Compact"/>
            </w:pPr>
            <w:r>
              <w:t xml:space="preserve">Gate fired</w:t>
            </w:r>
          </w:p>
        </w:tc>
        <w:tc>
          <w:tcPr>
            <w:tcW w:w="734" w:type="dxa"/>
          </w:tcPr>
          <w:p>
            <w:pPr>
              <w:pStyle w:val="Compact"/>
            </w:pPr>
            <w:r>
              <w:t xml:space="preserve">Match</w:t>
            </w:r>
          </w:p>
        </w:tc>
        <w:tc>
          <w:tcPr>
            <w:tcW w:w="1033" w:type="dxa"/>
          </w:tcPr>
          <w:p>
            <w:pPr>
              <w:pStyle w:val="Compact"/>
            </w:pPr>
            <w:r>
              <w:t xml:space="preserve">Net payable</w:t>
            </w:r>
          </w:p>
        </w:tc>
      </w:tr>
      <w:tr>
        <w:tc>
          <w:tcPr>
            <w:tcW w:w="900" w:type="dxa"/>
          </w:tcPr>
          <w:p>
            <w:pPr>
              <w:pStyle w:val="Compact"/>
            </w:pPr>
            <w:r>
              <w:t xml:space="preserve">W1-A01</w:t>
            </w:r>
          </w:p>
        </w:tc>
        <w:tc>
          <w:tcPr>
            <w:tcW w:w="1710" w:type="dxa"/>
          </w:tcPr>
          <w:p>
            <w:pPr>
              <w:pStyle w:val="Compact"/>
            </w:pPr>
            <w:r>
              <w:t xml:space="preserve">CLM-2024-1800</w:t>
            </w:r>
          </w:p>
        </w:tc>
        <w:tc>
          <w:tcPr>
            <w:tcW w:w="1982" w:type="dxa"/>
          </w:tcPr>
          <w:p>
            <w:pPr>
              <w:pStyle w:val="Compact"/>
            </w:pPr>
            <w:r>
              <w:t xml:space="preserve">approve</w:t>
            </w:r>
          </w:p>
        </w:tc>
        <w:tc>
          <w:tcPr>
            <w:tcW w:w="1979" w:type="dxa"/>
          </w:tcPr>
          <w:p>
            <w:pPr>
              <w:pStyle w:val="Compact"/>
            </w:pPr>
            <w:r>
              <w:t xml:space="preserve">approve</w:t>
            </w:r>
          </w:p>
        </w:tc>
        <w:tc>
          <w:tcPr>
            <w:tcW w:w="1742" w:type="dxa"/>
          </w:tcPr>
          <w:p>
            <w:pPr>
              <w:pStyle w:val="Compact"/>
            </w:pPr>
            <w:r>
              <w:t xml:space="preserve">6 first-pass band</w:t>
            </w:r>
          </w:p>
        </w:tc>
        <w:tc>
          <w:tcPr>
            <w:tcW w:w="734" w:type="dxa"/>
          </w:tcPr>
          <w:p>
            <w:pPr>
              <w:pStyle w:val="Compact"/>
            </w:pPr>
            <w:r>
              <w:t xml:space="preserve">✓</w:t>
            </w:r>
          </w:p>
        </w:tc>
        <w:tc>
          <w:tcPr>
            <w:tcW w:w="1033" w:type="dxa"/>
          </w:tcPr>
          <w:p>
            <w:pPr>
              <w:pStyle w:val="Compact"/>
            </w:pPr>
            <w:r>
              <w:t xml:space="preserve">2700 ✓</w:t>
            </w:r>
          </w:p>
        </w:tc>
      </w:tr>
      <w:tr>
        <w:tc>
          <w:tcPr>
            <w:tcW w:w="900" w:type="dxa"/>
          </w:tcPr>
          <w:p>
            <w:pPr>
              <w:pStyle w:val="Compact"/>
            </w:pPr>
            <w:r>
              <w:t xml:space="preserve">W1-A02</w:t>
            </w:r>
          </w:p>
        </w:tc>
        <w:tc>
          <w:tcPr>
            <w:tcW w:w="1710" w:type="dxa"/>
          </w:tcPr>
          <w:p>
            <w:pPr>
              <w:pStyle w:val="Compact"/>
            </w:pPr>
            <w:r>
              <w:t xml:space="preserve">SYN-W1-A02</w:t>
            </w:r>
          </w:p>
        </w:tc>
        <w:tc>
          <w:tcPr>
            <w:tcW w:w="1982" w:type="dxa"/>
          </w:tcPr>
          <w:p>
            <w:pPr>
              <w:pStyle w:val="Compact"/>
            </w:pPr>
            <w:r>
              <w:t xml:space="preserve">approve</w:t>
            </w:r>
          </w:p>
        </w:tc>
        <w:tc>
          <w:tcPr>
            <w:tcW w:w="1979" w:type="dxa"/>
          </w:tcPr>
          <w:p>
            <w:pPr>
              <w:pStyle w:val="Compact"/>
            </w:pPr>
            <w:r>
              <w:t xml:space="preserve">approve</w:t>
            </w:r>
          </w:p>
        </w:tc>
        <w:tc>
          <w:tcPr>
            <w:tcW w:w="1742" w:type="dxa"/>
          </w:tcPr>
          <w:p>
            <w:pPr>
              <w:pStyle w:val="Compact"/>
            </w:pPr>
            <w:r>
              <w:t xml:space="preserve">6 first-pass band</w:t>
            </w:r>
          </w:p>
        </w:tc>
        <w:tc>
          <w:tcPr>
            <w:tcW w:w="734" w:type="dxa"/>
          </w:tcPr>
          <w:p>
            <w:pPr>
              <w:pStyle w:val="Compact"/>
            </w:pPr>
            <w:r>
              <w:t xml:space="preserve">✓</w:t>
            </w:r>
          </w:p>
        </w:tc>
        <w:tc>
          <w:tcPr>
            <w:tcW w:w="1033" w:type="dxa"/>
          </w:tcPr>
          <w:p>
            <w:pPr>
              <w:pStyle w:val="Compact"/>
            </w:pPr>
            <w:r>
              <w:t xml:space="preserve">1350 ✓</w:t>
            </w:r>
          </w:p>
        </w:tc>
      </w:tr>
      <w:tr>
        <w:tc>
          <w:tcPr>
            <w:tcW w:w="900" w:type="dxa"/>
          </w:tcPr>
          <w:p>
            <w:pPr>
              <w:pStyle w:val="Compact"/>
            </w:pPr>
            <w:r>
              <w:t xml:space="preserve">W1-A03</w:t>
            </w:r>
          </w:p>
        </w:tc>
        <w:tc>
          <w:tcPr>
            <w:tcW w:w="1710" w:type="dxa"/>
          </w:tcPr>
          <w:p>
            <w:pPr>
              <w:pStyle w:val="Compact"/>
            </w:pPr>
            <w:r>
              <w:t xml:space="preserve">CLM-2024-2749</w:t>
            </w:r>
          </w:p>
        </w:tc>
        <w:tc>
          <w:tcPr>
            <w:tcW w:w="1982" w:type="dxa"/>
          </w:tcPr>
          <w:p>
            <w:pPr>
              <w:pStyle w:val="Compact"/>
            </w:pPr>
            <w:r>
              <w:t xml:space="preserve">approve</w:t>
            </w:r>
          </w:p>
        </w:tc>
        <w:tc>
          <w:tcPr>
            <w:tcW w:w="1979" w:type="dxa"/>
          </w:tcPr>
          <w:p>
            <w:pPr>
              <w:pStyle w:val="Compact"/>
            </w:pPr>
            <w:r>
              <w:t xml:space="preserve">approve</w:t>
            </w:r>
          </w:p>
        </w:tc>
        <w:tc>
          <w:tcPr>
            <w:tcW w:w="1742" w:type="dxa"/>
          </w:tcPr>
          <w:p>
            <w:pPr>
              <w:pStyle w:val="Compact"/>
            </w:pPr>
            <w:r>
              <w:t xml:space="preserve">6 first-pass band</w:t>
            </w:r>
          </w:p>
        </w:tc>
        <w:tc>
          <w:tcPr>
            <w:tcW w:w="734" w:type="dxa"/>
          </w:tcPr>
          <w:p>
            <w:pPr>
              <w:pStyle w:val="Compact"/>
            </w:pPr>
            <w:r>
              <w:t xml:space="preserve">✓</w:t>
            </w:r>
          </w:p>
        </w:tc>
        <w:tc>
          <w:tcPr>
            <w:tcW w:w="1033" w:type="dxa"/>
          </w:tcPr>
          <w:p>
            <w:pPr>
              <w:pStyle w:val="Compact"/>
            </w:pPr>
            <w:r>
              <w:t xml:space="preserve">4200 ✓</w:t>
            </w:r>
          </w:p>
        </w:tc>
      </w:tr>
      <w:tr>
        <w:tc>
          <w:tcPr>
            <w:tcW w:w="900" w:type="dxa"/>
          </w:tcPr>
          <w:p>
            <w:pPr>
              <w:pStyle w:val="Compact"/>
            </w:pPr>
            <w:r>
              <w:t xml:space="preserve">W1-A04</w:t>
            </w:r>
          </w:p>
        </w:tc>
        <w:tc>
          <w:tcPr>
            <w:tcW w:w="1710" w:type="dxa"/>
          </w:tcPr>
          <w:p>
            <w:pPr>
              <w:pStyle w:val="Compact"/>
            </w:pPr>
            <w:r>
              <w:t xml:space="preserve">CLM-2024-3041</w:t>
            </w:r>
          </w:p>
        </w:tc>
        <w:tc>
          <w:tcPr>
            <w:tcW w:w="1982" w:type="dxa"/>
          </w:tcPr>
          <w:p>
            <w:pPr>
              <w:pStyle w:val="Compact"/>
            </w:pPr>
            <w:r>
              <w:t xml:space="preserve">approve</w:t>
            </w:r>
          </w:p>
        </w:tc>
        <w:tc>
          <w:tcPr>
            <w:tcW w:w="1979" w:type="dxa"/>
          </w:tcPr>
          <w:p>
            <w:pPr>
              <w:pStyle w:val="Compact"/>
            </w:pPr>
            <w:r>
              <w:t xml:space="preserve">approve</w:t>
            </w:r>
          </w:p>
        </w:tc>
        <w:tc>
          <w:tcPr>
            <w:tcW w:w="1742" w:type="dxa"/>
          </w:tcPr>
          <w:p>
            <w:pPr>
              <w:pStyle w:val="Compact"/>
            </w:pPr>
            <w:r>
              <w:t xml:space="preserve">6 first-pass band</w:t>
            </w:r>
          </w:p>
        </w:tc>
        <w:tc>
          <w:tcPr>
            <w:tcW w:w="734" w:type="dxa"/>
          </w:tcPr>
          <w:p>
            <w:pPr>
              <w:pStyle w:val="Compact"/>
            </w:pPr>
            <w:r>
              <w:t xml:space="preserve">✓</w:t>
            </w:r>
          </w:p>
        </w:tc>
        <w:tc>
          <w:tcPr>
            <w:tcW w:w="1033" w:type="dxa"/>
          </w:tcPr>
          <w:p>
            <w:pPr>
              <w:pStyle w:val="Compact"/>
            </w:pPr>
            <w:r>
              <w:t xml:space="preserve">4300 ✓</w:t>
            </w:r>
          </w:p>
        </w:tc>
      </w:tr>
      <w:tr>
        <w:tc>
          <w:tcPr>
            <w:tcW w:w="900" w:type="dxa"/>
          </w:tcPr>
          <w:p>
            <w:pPr>
              <w:pStyle w:val="Compact"/>
            </w:pPr>
            <w:r>
              <w:t xml:space="preserve">W1-A05</w:t>
            </w:r>
          </w:p>
        </w:tc>
        <w:tc>
          <w:tcPr>
            <w:tcW w:w="1710" w:type="dxa"/>
          </w:tcPr>
          <w:p>
            <w:pPr>
              <w:pStyle w:val="Compact"/>
            </w:pPr>
            <w:r>
              <w:t xml:space="preserve">SYN-W1-A05</w:t>
            </w:r>
          </w:p>
        </w:tc>
        <w:tc>
          <w:tcPr>
            <w:tcW w:w="1982" w:type="dxa"/>
          </w:tcPr>
          <w:p>
            <w:pPr>
              <w:pStyle w:val="Compact"/>
            </w:pPr>
            <w:r>
              <w:t xml:space="preserve">approve</w:t>
            </w:r>
          </w:p>
        </w:tc>
        <w:tc>
          <w:tcPr>
            <w:tcW w:w="1979" w:type="dxa"/>
          </w:tcPr>
          <w:p>
            <w:pPr>
              <w:pStyle w:val="Compact"/>
            </w:pPr>
            <w:r>
              <w:t xml:space="preserve">approve</w:t>
            </w:r>
          </w:p>
        </w:tc>
        <w:tc>
          <w:tcPr>
            <w:tcW w:w="1742" w:type="dxa"/>
          </w:tcPr>
          <w:p>
            <w:pPr>
              <w:pStyle w:val="Compact"/>
            </w:pPr>
            <w:r>
              <w:t xml:space="preserve">6 first-pass band</w:t>
            </w:r>
          </w:p>
        </w:tc>
        <w:tc>
          <w:tcPr>
            <w:tcW w:w="734" w:type="dxa"/>
          </w:tcPr>
          <w:p>
            <w:pPr>
              <w:pStyle w:val="Compact"/>
            </w:pPr>
            <w:r>
              <w:t xml:space="preserve">✓</w:t>
            </w:r>
          </w:p>
        </w:tc>
        <w:tc>
          <w:tcPr>
            <w:tcW w:w="1033" w:type="dxa"/>
          </w:tcPr>
          <w:p>
            <w:pPr>
              <w:pStyle w:val="Compact"/>
            </w:pPr>
            <w:r>
              <w:t xml:space="preserve">650 ✓</w:t>
            </w:r>
          </w:p>
        </w:tc>
      </w:tr>
      <w:tr>
        <w:tc>
          <w:tcPr>
            <w:tcW w:w="900" w:type="dxa"/>
          </w:tcPr>
          <w:p>
            <w:pPr>
              <w:pStyle w:val="Compact"/>
            </w:pPr>
            <w:r>
              <w:t xml:space="preserve">W1-D01</w:t>
            </w:r>
          </w:p>
        </w:tc>
        <w:tc>
          <w:tcPr>
            <w:tcW w:w="1710" w:type="dxa"/>
          </w:tcPr>
          <w:p>
            <w:pPr>
              <w:pStyle w:val="Compact"/>
            </w:pPr>
            <w:r>
              <w:t xml:space="preserve">CLM-2024-2019</w:t>
            </w:r>
          </w:p>
        </w:tc>
        <w:tc>
          <w:tcPr>
            <w:tcW w:w="1982" w:type="dxa"/>
          </w:tcPr>
          <w:p>
            <w:pPr>
              <w:pStyle w:val="Compact"/>
            </w:pPr>
            <w:r>
              <w:t xml:space="preserve">deny</w:t>
            </w:r>
          </w:p>
        </w:tc>
        <w:tc>
          <w:tcPr>
            <w:tcW w:w="1979" w:type="dxa"/>
          </w:tcPr>
          <w:p>
            <w:pPr>
              <w:pStyle w:val="Compact"/>
            </w:pPr>
            <w:r>
              <w:t xml:space="preserve">deny</w:t>
            </w:r>
          </w:p>
        </w:tc>
        <w:tc>
          <w:tcPr>
            <w:tcW w:w="1742" w:type="dxa"/>
          </w:tcPr>
          <w:p>
            <w:pPr>
              <w:pStyle w:val="Compact"/>
            </w:pPr>
            <w:r>
              <w:t xml:space="preserve">2 coverage</w:t>
            </w:r>
          </w:p>
        </w:tc>
        <w:tc>
          <w:tcPr>
            <w:tcW w:w="734" w:type="dxa"/>
          </w:tcPr>
          <w:p>
            <w:pPr>
              <w:pStyle w:val="Compact"/>
            </w:pPr>
            <w:r>
              <w:t xml:space="preserve">✓</w:t>
            </w:r>
          </w:p>
        </w:tc>
        <w:tc>
          <w:tcPr>
            <w:tcW w:w="1033" w:type="dxa"/>
          </w:tcPr>
          <w:p>
            <w:pPr>
              <w:pStyle w:val="Compact"/>
            </w:pPr>
            <w:r>
              <w:t xml:space="preserve">—</w:t>
            </w:r>
          </w:p>
        </w:tc>
      </w:tr>
      <w:tr>
        <w:tc>
          <w:tcPr>
            <w:tcW w:w="900" w:type="dxa"/>
          </w:tcPr>
          <w:p>
            <w:pPr>
              <w:pStyle w:val="Compact"/>
            </w:pPr>
            <w:r>
              <w:t xml:space="preserve">W1-D02</w:t>
            </w:r>
          </w:p>
        </w:tc>
        <w:tc>
          <w:tcPr>
            <w:tcW w:w="1710" w:type="dxa"/>
          </w:tcPr>
          <w:p>
            <w:pPr>
              <w:pStyle w:val="Compact"/>
            </w:pPr>
            <w:r>
              <w:t xml:space="preserve">CLM-2024-2238</w:t>
            </w:r>
          </w:p>
        </w:tc>
        <w:tc>
          <w:tcPr>
            <w:tcW w:w="1982" w:type="dxa"/>
          </w:tcPr>
          <w:p>
            <w:pPr>
              <w:pStyle w:val="Compact"/>
            </w:pPr>
            <w:r>
              <w:t xml:space="preserve">deny</w:t>
            </w:r>
          </w:p>
        </w:tc>
        <w:tc>
          <w:tcPr>
            <w:tcW w:w="1979" w:type="dxa"/>
          </w:tcPr>
          <w:p>
            <w:pPr>
              <w:pStyle w:val="Compact"/>
            </w:pPr>
            <w:r>
              <w:t xml:space="preserve">deny</w:t>
            </w:r>
          </w:p>
        </w:tc>
        <w:tc>
          <w:tcPr>
            <w:tcW w:w="1742" w:type="dxa"/>
          </w:tcPr>
          <w:p>
            <w:pPr>
              <w:pStyle w:val="Compact"/>
            </w:pPr>
            <w:r>
              <w:t xml:space="preserve">2 coverage</w:t>
            </w:r>
          </w:p>
        </w:tc>
        <w:tc>
          <w:tcPr>
            <w:tcW w:w="734" w:type="dxa"/>
          </w:tcPr>
          <w:p>
            <w:pPr>
              <w:pStyle w:val="Compact"/>
            </w:pPr>
            <w:r>
              <w:t xml:space="preserve">✓</w:t>
            </w:r>
          </w:p>
        </w:tc>
        <w:tc>
          <w:tcPr>
            <w:tcW w:w="1033" w:type="dxa"/>
          </w:tcPr>
          <w:p>
            <w:pPr>
              <w:pStyle w:val="Compact"/>
            </w:pPr>
            <w:r>
              <w:t xml:space="preserve">—</w:t>
            </w:r>
          </w:p>
        </w:tc>
      </w:tr>
      <w:tr>
        <w:tc>
          <w:tcPr>
            <w:tcW w:w="900" w:type="dxa"/>
          </w:tcPr>
          <w:p>
            <w:pPr>
              <w:pStyle w:val="Compact"/>
            </w:pPr>
            <w:r>
              <w:t xml:space="preserve">W1-D03</w:t>
            </w:r>
          </w:p>
        </w:tc>
        <w:tc>
          <w:tcPr>
            <w:tcW w:w="1710" w:type="dxa"/>
          </w:tcPr>
          <w:p>
            <w:pPr>
              <w:pStyle w:val="Compact"/>
            </w:pPr>
            <w:r>
              <w:t xml:space="preserve">CLM-2024-2530</w:t>
            </w:r>
          </w:p>
        </w:tc>
        <w:tc>
          <w:tcPr>
            <w:tcW w:w="1982" w:type="dxa"/>
          </w:tcPr>
          <w:p>
            <w:pPr>
              <w:pStyle w:val="Compact"/>
            </w:pPr>
            <w:r>
              <w:t xml:space="preserve">deny</w:t>
            </w:r>
          </w:p>
        </w:tc>
        <w:tc>
          <w:tcPr>
            <w:tcW w:w="1979" w:type="dxa"/>
          </w:tcPr>
          <w:p>
            <w:pPr>
              <w:pStyle w:val="Compact"/>
            </w:pPr>
            <w:r>
              <w:t xml:space="preserve">deny</w:t>
            </w:r>
          </w:p>
        </w:tc>
        <w:tc>
          <w:tcPr>
            <w:tcW w:w="1742" w:type="dxa"/>
          </w:tcPr>
          <w:p>
            <w:pPr>
              <w:pStyle w:val="Compact"/>
            </w:pPr>
            <w:r>
              <w:t xml:space="preserve">2 coverage</w:t>
            </w:r>
          </w:p>
        </w:tc>
        <w:tc>
          <w:tcPr>
            <w:tcW w:w="734" w:type="dxa"/>
          </w:tcPr>
          <w:p>
            <w:pPr>
              <w:pStyle w:val="Compact"/>
            </w:pPr>
            <w:r>
              <w:t xml:space="preserve">✓</w:t>
            </w:r>
          </w:p>
        </w:tc>
        <w:tc>
          <w:tcPr>
            <w:tcW w:w="1033" w:type="dxa"/>
          </w:tcPr>
          <w:p>
            <w:pPr>
              <w:pStyle w:val="Compact"/>
            </w:pPr>
            <w:r>
              <w:t xml:space="preserve">—</w:t>
            </w:r>
          </w:p>
        </w:tc>
      </w:tr>
      <w:tr>
        <w:tc>
          <w:tcPr>
            <w:tcW w:w="900" w:type="dxa"/>
          </w:tcPr>
          <w:p>
            <w:pPr>
              <w:pStyle w:val="Compact"/>
            </w:pPr>
            <w:r>
              <w:t xml:space="preserve">W1-D04</w:t>
            </w:r>
          </w:p>
        </w:tc>
        <w:tc>
          <w:tcPr>
            <w:tcW w:w="1710" w:type="dxa"/>
          </w:tcPr>
          <w:p>
            <w:pPr>
              <w:pStyle w:val="Compact"/>
            </w:pPr>
            <w:r>
              <w:t xml:space="preserve">CLM-2024-2822</w:t>
            </w:r>
          </w:p>
        </w:tc>
        <w:tc>
          <w:tcPr>
            <w:tcW w:w="1982" w:type="dxa"/>
          </w:tcPr>
          <w:p>
            <w:pPr>
              <w:pStyle w:val="Compact"/>
            </w:pPr>
            <w:r>
              <w:t xml:space="preserve">deny</w:t>
            </w:r>
          </w:p>
        </w:tc>
        <w:tc>
          <w:tcPr>
            <w:tcW w:w="1979" w:type="dxa"/>
          </w:tcPr>
          <w:p>
            <w:pPr>
              <w:pStyle w:val="Compact"/>
            </w:pPr>
            <w:r>
              <w:t xml:space="preserve">deny</w:t>
            </w:r>
          </w:p>
        </w:tc>
        <w:tc>
          <w:tcPr>
            <w:tcW w:w="1742" w:type="dxa"/>
          </w:tcPr>
          <w:p>
            <w:pPr>
              <w:pStyle w:val="Compact"/>
            </w:pPr>
            <w:r>
              <w:t xml:space="preserve">2 coverage</w:t>
            </w:r>
          </w:p>
        </w:tc>
        <w:tc>
          <w:tcPr>
            <w:tcW w:w="734" w:type="dxa"/>
          </w:tcPr>
          <w:p>
            <w:pPr>
              <w:pStyle w:val="Compact"/>
            </w:pPr>
            <w:r>
              <w:t xml:space="preserve">✓</w:t>
            </w:r>
          </w:p>
        </w:tc>
        <w:tc>
          <w:tcPr>
            <w:tcW w:w="1033" w:type="dxa"/>
          </w:tcPr>
          <w:p>
            <w:pPr>
              <w:pStyle w:val="Compact"/>
            </w:pPr>
            <w:r>
              <w:t xml:space="preserve">—</w:t>
            </w:r>
          </w:p>
        </w:tc>
      </w:tr>
      <w:tr>
        <w:tc>
          <w:tcPr>
            <w:tcW w:w="900" w:type="dxa"/>
          </w:tcPr>
          <w:p>
            <w:pPr>
              <w:pStyle w:val="Compact"/>
            </w:pPr>
            <w:r>
              <w:t xml:space="preserve">W1-D05</w:t>
            </w:r>
          </w:p>
        </w:tc>
        <w:tc>
          <w:tcPr>
            <w:tcW w:w="1710" w:type="dxa"/>
          </w:tcPr>
          <w:p>
            <w:pPr>
              <w:pStyle w:val="Compact"/>
            </w:pPr>
            <w:r>
              <w:t xml:space="preserve">CLM-2024-2676</w:t>
            </w:r>
          </w:p>
        </w:tc>
        <w:tc>
          <w:tcPr>
            <w:tcW w:w="1982" w:type="dxa"/>
          </w:tcPr>
          <w:p>
            <w:pPr>
              <w:pStyle w:val="Compact"/>
            </w:pPr>
            <w:r>
              <w:t xml:space="preserve">deny</w:t>
            </w:r>
          </w:p>
        </w:tc>
        <w:tc>
          <w:tcPr>
            <w:tcW w:w="1979" w:type="dxa"/>
          </w:tcPr>
          <w:p>
            <w:pPr>
              <w:pStyle w:val="Compact"/>
            </w:pPr>
            <w:r>
              <w:t xml:space="preserve">deny</w:t>
            </w:r>
          </w:p>
        </w:tc>
        <w:tc>
          <w:tcPr>
            <w:tcW w:w="1742" w:type="dxa"/>
          </w:tcPr>
          <w:p>
            <w:pPr>
              <w:pStyle w:val="Compact"/>
            </w:pPr>
            <w:r>
              <w:t xml:space="preserve">2 coverage</w:t>
            </w:r>
          </w:p>
        </w:tc>
        <w:tc>
          <w:tcPr>
            <w:tcW w:w="734" w:type="dxa"/>
          </w:tcPr>
          <w:p>
            <w:pPr>
              <w:pStyle w:val="Compact"/>
            </w:pPr>
            <w:r>
              <w:t xml:space="preserve">✓</w:t>
            </w:r>
          </w:p>
        </w:tc>
        <w:tc>
          <w:tcPr>
            <w:tcW w:w="1033" w:type="dxa"/>
          </w:tcPr>
          <w:p>
            <w:pPr>
              <w:pStyle w:val="Compact"/>
            </w:pPr>
            <w:r>
              <w:t xml:space="preserve">—</w:t>
            </w:r>
          </w:p>
        </w:tc>
      </w:tr>
      <w:tr>
        <w:tc>
          <w:tcPr>
            <w:tcW w:w="900" w:type="dxa"/>
          </w:tcPr>
          <w:p>
            <w:pPr>
              <w:pStyle w:val="Compact"/>
            </w:pPr>
            <w:r>
              <w:t xml:space="preserve">W1-F01</w:t>
            </w:r>
          </w:p>
        </w:tc>
        <w:tc>
          <w:tcPr>
            <w:tcW w:w="1710" w:type="dxa"/>
          </w:tcPr>
          <w:p>
            <w:pPr>
              <w:pStyle w:val="Compact"/>
            </w:pPr>
            <w:r>
              <w:t xml:space="preserve">CLM-2024-2895</w:t>
            </w:r>
          </w:p>
        </w:tc>
        <w:tc>
          <w:tcPr>
            <w:tcW w:w="1982" w:type="dxa"/>
          </w:tcPr>
          <w:p>
            <w:pPr>
              <w:pStyle w:val="Compact"/>
            </w:pPr>
            <w:r>
              <w:t xml:space="preserve">flag_review</w:t>
            </w:r>
          </w:p>
        </w:tc>
        <w:tc>
          <w:tcPr>
            <w:tcW w:w="1979" w:type="dxa"/>
          </w:tcPr>
          <w:p>
            <w:pPr>
              <w:pStyle w:val="Compact"/>
            </w:pPr>
            <w:r>
              <w:t xml:space="preserve">flag_review</w:t>
            </w:r>
          </w:p>
        </w:tc>
        <w:tc>
          <w:tcPr>
            <w:tcW w:w="1742" w:type="dxa"/>
          </w:tcPr>
          <w:p>
            <w:pPr>
              <w:pStyle w:val="Compact"/>
            </w:pPr>
            <w:r>
              <w:t xml:space="preserve">6 default</w:t>
            </w:r>
          </w:p>
        </w:tc>
        <w:tc>
          <w:tcPr>
            <w:tcW w:w="734" w:type="dxa"/>
          </w:tcPr>
          <w:p>
            <w:pPr>
              <w:pStyle w:val="Compact"/>
            </w:pPr>
            <w:r>
              <w:t xml:space="preserve">✓</w:t>
            </w:r>
          </w:p>
        </w:tc>
        <w:tc>
          <w:tcPr>
            <w:tcW w:w="1033" w:type="dxa"/>
          </w:tcPr>
          <w:p>
            <w:pPr>
              <w:pStyle w:val="Compact"/>
            </w:pPr>
            <w:r>
              <w:t xml:space="preserve">8700 ✓</w:t>
            </w:r>
          </w:p>
        </w:tc>
      </w:tr>
      <w:tr>
        <w:tc>
          <w:tcPr>
            <w:tcW w:w="900" w:type="dxa"/>
          </w:tcPr>
          <w:p>
            <w:pPr>
              <w:pStyle w:val="Compact"/>
            </w:pPr>
            <w:r>
              <w:t xml:space="preserve">W1-F02</w:t>
            </w:r>
          </w:p>
        </w:tc>
        <w:tc>
          <w:tcPr>
            <w:tcW w:w="1710" w:type="dxa"/>
          </w:tcPr>
          <w:p>
            <w:pPr>
              <w:pStyle w:val="Compact"/>
            </w:pPr>
            <w:r>
              <w:t xml:space="preserve">CLM-2024-2311</w:t>
            </w:r>
          </w:p>
        </w:tc>
        <w:tc>
          <w:tcPr>
            <w:tcW w:w="1982" w:type="dxa"/>
          </w:tcPr>
          <w:p>
            <w:pPr>
              <w:pStyle w:val="Compact"/>
            </w:pPr>
            <w:r>
              <w:t xml:space="preserve">flag_review</w:t>
            </w:r>
          </w:p>
        </w:tc>
        <w:tc>
          <w:tcPr>
            <w:tcW w:w="1979" w:type="dxa"/>
          </w:tcPr>
          <w:p>
            <w:pPr>
              <w:pStyle w:val="Compact"/>
            </w:pPr>
            <w:r>
              <w:t xml:space="preserve">flag_review</w:t>
            </w:r>
          </w:p>
        </w:tc>
        <w:tc>
          <w:tcPr>
            <w:tcW w:w="1742" w:type="dxa"/>
          </w:tcPr>
          <w:p>
            <w:pPr>
              <w:pStyle w:val="Compact"/>
            </w:pPr>
            <w:r>
              <w:t xml:space="preserve">5 documentation</w:t>
            </w:r>
          </w:p>
        </w:tc>
        <w:tc>
          <w:tcPr>
            <w:tcW w:w="734" w:type="dxa"/>
          </w:tcPr>
          <w:p>
            <w:pPr>
              <w:pStyle w:val="Compact"/>
            </w:pPr>
            <w:r>
              <w:t xml:space="preserve">✓</w:t>
            </w:r>
          </w:p>
        </w:tc>
        <w:tc>
          <w:tcPr>
            <w:tcW w:w="1033" w:type="dxa"/>
          </w:tcPr>
          <w:p>
            <w:pPr>
              <w:pStyle w:val="Compact"/>
            </w:pPr>
            <w:r>
              <w:t xml:space="preserve">17500 ✓</w:t>
            </w:r>
          </w:p>
        </w:tc>
      </w:tr>
      <w:tr>
        <w:tc>
          <w:tcPr>
            <w:tcW w:w="900" w:type="dxa"/>
          </w:tcPr>
          <w:p>
            <w:pPr>
              <w:pStyle w:val="Compact"/>
            </w:pPr>
            <w:r>
              <w:t xml:space="preserve">W1-F03</w:t>
            </w:r>
          </w:p>
        </w:tc>
        <w:tc>
          <w:tcPr>
            <w:tcW w:w="1710" w:type="dxa"/>
          </w:tcPr>
          <w:p>
            <w:pPr>
              <w:pStyle w:val="Compact"/>
            </w:pPr>
            <w:r>
              <w:t xml:space="preserve">CLM-2024-2968</w:t>
            </w:r>
          </w:p>
        </w:tc>
        <w:tc>
          <w:tcPr>
            <w:tcW w:w="1982" w:type="dxa"/>
          </w:tcPr>
          <w:p>
            <w:pPr>
              <w:pStyle w:val="Compact"/>
            </w:pPr>
            <w:r>
              <w:t xml:space="preserve">flag_review</w:t>
            </w:r>
          </w:p>
        </w:tc>
        <w:tc>
          <w:tcPr>
            <w:tcW w:w="1979" w:type="dxa"/>
          </w:tcPr>
          <w:p>
            <w:pPr>
              <w:pStyle w:val="Compact"/>
            </w:pPr>
            <w:r>
              <w:t xml:space="preserve">flag_review</w:t>
            </w:r>
          </w:p>
        </w:tc>
        <w:tc>
          <w:tcPr>
            <w:tcW w:w="1742" w:type="dxa"/>
          </w:tcPr>
          <w:p>
            <w:pPr>
              <w:pStyle w:val="Compact"/>
            </w:pPr>
            <w:r>
              <w:t xml:space="preserve">4 injury</w:t>
            </w:r>
          </w:p>
        </w:tc>
        <w:tc>
          <w:tcPr>
            <w:tcW w:w="734" w:type="dxa"/>
          </w:tcPr>
          <w:p>
            <w:pPr>
              <w:pStyle w:val="Compact"/>
            </w:pPr>
            <w:r>
              <w:t xml:space="preserve">✓</w:t>
            </w:r>
          </w:p>
        </w:tc>
        <w:tc>
          <w:tcPr>
            <w:tcW w:w="1033" w:type="dxa"/>
          </w:tcPr>
          <w:p>
            <w:pPr>
              <w:pStyle w:val="Compact"/>
            </w:pPr>
            <w:r>
              <w:t xml:space="preserve">13200 ✓</w:t>
            </w:r>
          </w:p>
        </w:tc>
      </w:tr>
      <w:tr>
        <w:tc>
          <w:tcPr>
            <w:tcW w:w="900" w:type="dxa"/>
          </w:tcPr>
          <w:p>
            <w:pPr>
              <w:pStyle w:val="Compact"/>
            </w:pPr>
            <w:r>
              <w:t xml:space="preserve">W1-F04</w:t>
            </w:r>
          </w:p>
        </w:tc>
        <w:tc>
          <w:tcPr>
            <w:tcW w:w="1710" w:type="dxa"/>
          </w:tcPr>
          <w:p>
            <w:pPr>
              <w:pStyle w:val="Compact"/>
            </w:pPr>
            <w:r>
              <w:t xml:space="preserve">CLM-2024-2384</w:t>
            </w:r>
          </w:p>
        </w:tc>
        <w:tc>
          <w:tcPr>
            <w:tcW w:w="1982" w:type="dxa"/>
          </w:tcPr>
          <w:p>
            <w:pPr>
              <w:pStyle w:val="Compact"/>
            </w:pPr>
            <w:r>
              <w:t xml:space="preserve">flag_review</w:t>
            </w:r>
          </w:p>
        </w:tc>
        <w:tc>
          <w:tcPr>
            <w:tcW w:w="1979" w:type="dxa"/>
          </w:tcPr>
          <w:p>
            <w:pPr>
              <w:pStyle w:val="Compact"/>
            </w:pPr>
            <w:r>
              <w:t xml:space="preserve">flag_review</w:t>
            </w:r>
          </w:p>
        </w:tc>
        <w:tc>
          <w:tcPr>
            <w:tcW w:w="1742" w:type="dxa"/>
          </w:tcPr>
          <w:p>
            <w:pPr>
              <w:pStyle w:val="Compact"/>
            </w:pPr>
            <w:r>
              <w:t xml:space="preserve">5 documentation</w:t>
            </w:r>
          </w:p>
        </w:tc>
        <w:tc>
          <w:tcPr>
            <w:tcW w:w="734" w:type="dxa"/>
          </w:tcPr>
          <w:p>
            <w:pPr>
              <w:pStyle w:val="Compact"/>
            </w:pPr>
            <w:r>
              <w:t xml:space="preserve">✓</w:t>
            </w:r>
          </w:p>
        </w:tc>
        <w:tc>
          <w:tcPr>
            <w:tcW w:w="1033" w:type="dxa"/>
          </w:tcPr>
          <w:p>
            <w:pPr>
              <w:pStyle w:val="Compact"/>
            </w:pPr>
            <w:r>
              <w:t xml:space="preserve">3100 ✓</w:t>
            </w:r>
          </w:p>
        </w:tc>
      </w:tr>
      <w:tr>
        <w:tc>
          <w:tcPr>
            <w:tcW w:w="900" w:type="dxa"/>
          </w:tcPr>
          <w:p>
            <w:pPr>
              <w:pStyle w:val="Compact"/>
            </w:pPr>
            <w:r>
              <w:t xml:space="preserve">W1-F05</w:t>
            </w:r>
          </w:p>
        </w:tc>
        <w:tc>
          <w:tcPr>
            <w:tcW w:w="1710" w:type="dxa"/>
          </w:tcPr>
          <w:p>
            <w:pPr>
              <w:pStyle w:val="Compact"/>
            </w:pPr>
            <w:r>
              <w:t xml:space="preserve">SYN-W1-F05</w:t>
            </w:r>
          </w:p>
        </w:tc>
        <w:tc>
          <w:tcPr>
            <w:tcW w:w="1982" w:type="dxa"/>
          </w:tcPr>
          <w:p>
            <w:pPr>
              <w:pStyle w:val="Compact"/>
            </w:pPr>
            <w:r>
              <w:t xml:space="preserve">flag_review</w:t>
            </w:r>
          </w:p>
        </w:tc>
        <w:tc>
          <w:tcPr>
            <w:tcW w:w="1979" w:type="dxa"/>
          </w:tcPr>
          <w:p>
            <w:pPr>
              <w:pStyle w:val="Compact"/>
            </w:pPr>
            <w:r>
              <w:t xml:space="preserve">deny</w:t>
            </w:r>
          </w:p>
        </w:tc>
        <w:tc>
          <w:tcPr>
            <w:tcW w:w="1742" w:type="dxa"/>
          </w:tcPr>
          <w:p>
            <w:pPr>
              <w:pStyle w:val="Compact"/>
            </w:pPr>
            <w:r>
              <w:t xml:space="preserve">2 coverage</w:t>
            </w:r>
          </w:p>
        </w:tc>
        <w:tc>
          <w:tcPr>
            <w:tcW w:w="734" w:type="dxa"/>
          </w:tcPr>
          <w:p>
            <w:pPr>
              <w:pStyle w:val="Compact"/>
            </w:pPr>
            <w:r>
              <w:t xml:space="preserve">✗</w:t>
            </w:r>
          </w:p>
        </w:tc>
        <w:tc>
          <w:tcPr>
            <w:tcW w:w="1033" w:type="dxa"/>
          </w:tcPr>
          <w:p>
            <w:pPr>
              <w:pStyle w:val="Compact"/>
            </w:pPr>
            <w:r>
              <w:t xml:space="preserve">None ≠ 4900</w:t>
            </w:r>
          </w:p>
        </w:tc>
      </w:tr>
      <w:tr>
        <w:tc>
          <w:tcPr>
            <w:tcW w:w="900" w:type="dxa"/>
          </w:tcPr>
          <w:p>
            <w:pPr>
              <w:pStyle w:val="Compact"/>
            </w:pPr>
            <w:r>
              <w:t xml:space="preserve">W1-R01</w:t>
            </w:r>
          </w:p>
        </w:tc>
        <w:tc>
          <w:tcPr>
            <w:tcW w:w="1710" w:type="dxa"/>
          </w:tcPr>
          <w:p>
            <w:pPr>
              <w:pStyle w:val="Compact"/>
            </w:pPr>
            <w:r>
              <w:t xml:space="preserve">CLM-2024-1873</w:t>
            </w:r>
          </w:p>
        </w:tc>
        <w:tc>
          <w:tcPr>
            <w:tcW w:w="1982" w:type="dxa"/>
          </w:tcPr>
          <w:p>
            <w:pPr>
              <w:pStyle w:val="Compact"/>
            </w:pPr>
            <w:r>
              <w:t xml:space="preserve">route_specialist</w:t>
            </w:r>
          </w:p>
        </w:tc>
        <w:tc>
          <w:tcPr>
            <w:tcW w:w="1979" w:type="dxa"/>
          </w:tcPr>
          <w:p>
            <w:pPr>
              <w:pStyle w:val="Compact"/>
            </w:pPr>
            <w:r>
              <w:t xml:space="preserve">route_specialist</w:t>
            </w:r>
          </w:p>
        </w:tc>
        <w:tc>
          <w:tcPr>
            <w:tcW w:w="1742" w:type="dxa"/>
          </w:tcPr>
          <w:p>
            <w:pPr>
              <w:pStyle w:val="Compact"/>
            </w:pPr>
            <w:r>
              <w:t xml:space="preserve">1 fraud</w:t>
            </w:r>
          </w:p>
        </w:tc>
        <w:tc>
          <w:tcPr>
            <w:tcW w:w="734" w:type="dxa"/>
          </w:tcPr>
          <w:p>
            <w:pPr>
              <w:pStyle w:val="Compact"/>
            </w:pPr>
            <w:r>
              <w:t xml:space="preserve">✓</w:t>
            </w:r>
          </w:p>
        </w:tc>
        <w:tc>
          <w:tcPr>
            <w:tcW w:w="1033" w:type="dxa"/>
          </w:tcPr>
          <w:p>
            <w:pPr>
              <w:pStyle w:val="Compact"/>
            </w:pPr>
            <w:r>
              <w:t xml:space="preserve">30200 ✓</w:t>
            </w:r>
          </w:p>
        </w:tc>
      </w:tr>
      <w:tr>
        <w:tc>
          <w:tcPr>
            <w:tcW w:w="900" w:type="dxa"/>
          </w:tcPr>
          <w:p>
            <w:pPr>
              <w:pStyle w:val="Compact"/>
            </w:pPr>
            <w:r>
              <w:t xml:space="preserve">W1-R02</w:t>
            </w:r>
          </w:p>
        </w:tc>
        <w:tc>
          <w:tcPr>
            <w:tcW w:w="1710" w:type="dxa"/>
          </w:tcPr>
          <w:p>
            <w:pPr>
              <w:pStyle w:val="Compact"/>
            </w:pPr>
            <w:r>
              <w:t xml:space="preserve">CLM-2024-2603</w:t>
            </w:r>
          </w:p>
        </w:tc>
        <w:tc>
          <w:tcPr>
            <w:tcW w:w="1982" w:type="dxa"/>
          </w:tcPr>
          <w:p>
            <w:pPr>
              <w:pStyle w:val="Compact"/>
            </w:pPr>
            <w:r>
              <w:t xml:space="preserve">route_specialist</w:t>
            </w:r>
          </w:p>
        </w:tc>
        <w:tc>
          <w:tcPr>
            <w:tcW w:w="1979" w:type="dxa"/>
          </w:tcPr>
          <w:p>
            <w:pPr>
              <w:pStyle w:val="Compact"/>
            </w:pPr>
            <w:r>
              <w:t xml:space="preserve">route_specialist</w:t>
            </w:r>
          </w:p>
        </w:tc>
        <w:tc>
          <w:tcPr>
            <w:tcW w:w="1742" w:type="dxa"/>
          </w:tcPr>
          <w:p>
            <w:pPr>
              <w:pStyle w:val="Compact"/>
            </w:pPr>
            <w:r>
              <w:t xml:space="preserve">1 fraud</w:t>
            </w:r>
          </w:p>
        </w:tc>
        <w:tc>
          <w:tcPr>
            <w:tcW w:w="734" w:type="dxa"/>
          </w:tcPr>
          <w:p>
            <w:pPr>
              <w:pStyle w:val="Compact"/>
            </w:pPr>
            <w:r>
              <w:t xml:space="preserve">✓</w:t>
            </w:r>
          </w:p>
        </w:tc>
        <w:tc>
          <w:tcPr>
            <w:tcW w:w="1033" w:type="dxa"/>
          </w:tcPr>
          <w:p>
            <w:pPr>
              <w:pStyle w:val="Compact"/>
            </w:pPr>
            <w:r>
              <w:t xml:space="preserve">12150 ✓</w:t>
            </w:r>
          </w:p>
        </w:tc>
      </w:tr>
      <w:tr>
        <w:tc>
          <w:tcPr>
            <w:tcW w:w="900" w:type="dxa"/>
          </w:tcPr>
          <w:p>
            <w:pPr>
              <w:pStyle w:val="Compact"/>
            </w:pPr>
            <w:r>
              <w:t xml:space="preserve">W1-R03</w:t>
            </w:r>
          </w:p>
        </w:tc>
        <w:tc>
          <w:tcPr>
            <w:tcW w:w="1710" w:type="dxa"/>
          </w:tcPr>
          <w:p>
            <w:pPr>
              <w:pStyle w:val="Compact"/>
            </w:pPr>
            <w:r>
              <w:t xml:space="preserve">CLM-2024-1946</w:t>
            </w:r>
          </w:p>
        </w:tc>
        <w:tc>
          <w:tcPr>
            <w:tcW w:w="1982" w:type="dxa"/>
          </w:tcPr>
          <w:p>
            <w:pPr>
              <w:pStyle w:val="Compact"/>
            </w:pPr>
            <w:r>
              <w:t xml:space="preserve">route_specialist</w:t>
            </w:r>
          </w:p>
        </w:tc>
        <w:tc>
          <w:tcPr>
            <w:tcW w:w="1979" w:type="dxa"/>
          </w:tcPr>
          <w:p>
            <w:pPr>
              <w:pStyle w:val="Compact"/>
            </w:pPr>
            <w:r>
              <w:t xml:space="preserve">route_specialist</w:t>
            </w:r>
          </w:p>
        </w:tc>
        <w:tc>
          <w:tcPr>
            <w:tcW w:w="1742" w:type="dxa"/>
          </w:tcPr>
          <w:p>
            <w:pPr>
              <w:pStyle w:val="Compact"/>
            </w:pPr>
            <w:r>
              <w:t xml:space="preserve">3 total loss</w:t>
            </w:r>
          </w:p>
        </w:tc>
        <w:tc>
          <w:tcPr>
            <w:tcW w:w="734" w:type="dxa"/>
          </w:tcPr>
          <w:p>
            <w:pPr>
              <w:pStyle w:val="Compact"/>
            </w:pPr>
            <w:r>
              <w:t xml:space="preserve">✓</w:t>
            </w:r>
          </w:p>
        </w:tc>
        <w:tc>
          <w:tcPr>
            <w:tcW w:w="1033" w:type="dxa"/>
          </w:tcPr>
          <w:p>
            <w:pPr>
              <w:pStyle w:val="Compact"/>
            </w:pPr>
            <w:r>
              <w:t xml:space="preserve">16300 ✓</w:t>
            </w:r>
          </w:p>
        </w:tc>
      </w:tr>
      <w:tr>
        <w:tc>
          <w:tcPr>
            <w:tcW w:w="900" w:type="dxa"/>
          </w:tcPr>
          <w:p>
            <w:pPr>
              <w:pStyle w:val="Compact"/>
            </w:pPr>
            <w:r>
              <w:t xml:space="preserve">W1-R04</w:t>
            </w:r>
          </w:p>
        </w:tc>
        <w:tc>
          <w:tcPr>
            <w:tcW w:w="1710" w:type="dxa"/>
          </w:tcPr>
          <w:p>
            <w:pPr>
              <w:pStyle w:val="Compact"/>
            </w:pPr>
            <w:r>
              <w:t xml:space="preserve">CLM-2024-3187</w:t>
            </w:r>
          </w:p>
        </w:tc>
        <w:tc>
          <w:tcPr>
            <w:tcW w:w="1982" w:type="dxa"/>
          </w:tcPr>
          <w:p>
            <w:pPr>
              <w:pStyle w:val="Compact"/>
            </w:pPr>
            <w:r>
              <w:t xml:space="preserve">route_specialist</w:t>
            </w:r>
          </w:p>
        </w:tc>
        <w:tc>
          <w:tcPr>
            <w:tcW w:w="1979" w:type="dxa"/>
          </w:tcPr>
          <w:p>
            <w:pPr>
              <w:pStyle w:val="Compact"/>
            </w:pPr>
            <w:r>
              <w:t xml:space="preserve">route_specialist</w:t>
            </w:r>
          </w:p>
        </w:tc>
        <w:tc>
          <w:tcPr>
            <w:tcW w:w="1742" w:type="dxa"/>
          </w:tcPr>
          <w:p>
            <w:pPr>
              <w:pStyle w:val="Compact"/>
            </w:pPr>
            <w:r>
              <w:t xml:space="preserve">3 total loss</w:t>
            </w:r>
          </w:p>
        </w:tc>
        <w:tc>
          <w:tcPr>
            <w:tcW w:w="734" w:type="dxa"/>
          </w:tcPr>
          <w:p>
            <w:pPr>
              <w:pStyle w:val="Compact"/>
            </w:pPr>
            <w:r>
              <w:t xml:space="preserve">✓</w:t>
            </w:r>
          </w:p>
        </w:tc>
        <w:tc>
          <w:tcPr>
            <w:tcW w:w="1033" w:type="dxa"/>
          </w:tcPr>
          <w:p>
            <w:pPr>
              <w:pStyle w:val="Compact"/>
            </w:pPr>
            <w:r>
              <w:t xml:space="preserve">38250 ✓</w:t>
            </w:r>
          </w:p>
        </w:tc>
      </w:tr>
      <w:tr>
        <w:tc>
          <w:tcPr>
            <w:tcW w:w="900" w:type="dxa"/>
          </w:tcPr>
          <w:p>
            <w:pPr>
              <w:pStyle w:val="Compact"/>
            </w:pPr>
            <w:r>
              <w:t xml:space="preserve">W1-R05</w:t>
            </w:r>
          </w:p>
        </w:tc>
        <w:tc>
          <w:tcPr>
            <w:tcW w:w="1710" w:type="dxa"/>
          </w:tcPr>
          <w:p>
            <w:pPr>
              <w:pStyle w:val="Compact"/>
            </w:pPr>
            <w:r>
              <w:t xml:space="preserve">CLM-2024-2457</w:t>
            </w:r>
          </w:p>
        </w:tc>
        <w:tc>
          <w:tcPr>
            <w:tcW w:w="1982" w:type="dxa"/>
          </w:tcPr>
          <w:p>
            <w:pPr>
              <w:pStyle w:val="Compact"/>
            </w:pPr>
            <w:r>
              <w:t xml:space="preserve">route_specialist</w:t>
            </w:r>
          </w:p>
        </w:tc>
        <w:tc>
          <w:tcPr>
            <w:tcW w:w="1979" w:type="dxa"/>
          </w:tcPr>
          <w:p>
            <w:pPr>
              <w:pStyle w:val="Compact"/>
            </w:pPr>
            <w:r>
              <w:t xml:space="preserve">route_specialist</w:t>
            </w:r>
          </w:p>
        </w:tc>
        <w:tc>
          <w:tcPr>
            <w:tcW w:w="1742" w:type="dxa"/>
          </w:tcPr>
          <w:p>
            <w:pPr>
              <w:pStyle w:val="Compact"/>
            </w:pPr>
            <w:r>
              <w:t xml:space="preserve">3 total loss</w:t>
            </w:r>
          </w:p>
        </w:tc>
        <w:tc>
          <w:tcPr>
            <w:tcW w:w="734" w:type="dxa"/>
          </w:tcPr>
          <w:p>
            <w:pPr>
              <w:pStyle w:val="Compact"/>
            </w:pPr>
            <w:r>
              <w:t xml:space="preserve">✓</w:t>
            </w:r>
          </w:p>
        </w:tc>
        <w:tc>
          <w:tcPr>
            <w:tcW w:w="1033" w:type="dxa"/>
          </w:tcPr>
          <w:p>
            <w:pPr>
              <w:pStyle w:val="Compact"/>
            </w:pPr>
            <w:r>
              <w:t xml:space="preserve">24000 ✓</w:t>
            </w:r>
          </w:p>
        </w:tc>
      </w:tr>
      <w:tr>
        <w:tc>
          <w:tcPr>
            <w:tcW w:w="900" w:type="dxa"/>
          </w:tcPr>
          <w:p>
            <w:pPr>
              <w:pStyle w:val="Compact"/>
            </w:pPr>
            <w:r>
              <w:t xml:space="preserve">W2-D06</w:t>
            </w:r>
          </w:p>
        </w:tc>
        <w:tc>
          <w:tcPr>
            <w:tcW w:w="1710" w:type="dxa"/>
          </w:tcPr>
          <w:p>
            <w:pPr>
              <w:pStyle w:val="Compact"/>
            </w:pPr>
            <w:r>
              <w:t xml:space="preserve">CLM-2024-3114</w:t>
            </w:r>
          </w:p>
        </w:tc>
        <w:tc>
          <w:tcPr>
            <w:tcW w:w="1982" w:type="dxa"/>
          </w:tcPr>
          <w:p>
            <w:pPr>
              <w:pStyle w:val="Compact"/>
            </w:pPr>
            <w:r>
              <w:t xml:space="preserve">deny</w:t>
            </w:r>
          </w:p>
        </w:tc>
        <w:tc>
          <w:tcPr>
            <w:tcW w:w="1979" w:type="dxa"/>
          </w:tcPr>
          <w:p>
            <w:pPr>
              <w:pStyle w:val="Compact"/>
            </w:pPr>
            <w:r>
              <w:t xml:space="preserve">deny</w:t>
            </w:r>
          </w:p>
        </w:tc>
        <w:tc>
          <w:tcPr>
            <w:tcW w:w="1742" w:type="dxa"/>
          </w:tcPr>
          <w:p>
            <w:pPr>
              <w:pStyle w:val="Compact"/>
            </w:pPr>
            <w:r>
              <w:t xml:space="preserve">2 coverage</w:t>
            </w:r>
          </w:p>
        </w:tc>
        <w:tc>
          <w:tcPr>
            <w:tcW w:w="734" w:type="dxa"/>
          </w:tcPr>
          <w:p>
            <w:pPr>
              <w:pStyle w:val="Compact"/>
            </w:pPr>
            <w:r>
              <w:t xml:space="preserve">✓</w:t>
            </w:r>
          </w:p>
        </w:tc>
        <w:tc>
          <w:tcPr>
            <w:tcW w:w="1033" w:type="dxa"/>
          </w:tcPr>
          <w:p>
            <w:pPr>
              <w:pStyle w:val="Compact"/>
            </w:pPr>
            <w:r>
              <w:t xml:space="preserve">—</w:t>
            </w:r>
          </w:p>
        </w:tc>
      </w:tr>
      <w:tr>
        <w:tc>
          <w:tcPr>
            <w:tcW w:w="900" w:type="dxa"/>
          </w:tcPr>
          <w:p>
            <w:pPr>
              <w:pStyle w:val="Compact"/>
            </w:pPr>
            <w:r>
              <w:t xml:space="preserve">W2-F06</w:t>
            </w:r>
          </w:p>
        </w:tc>
        <w:tc>
          <w:tcPr>
            <w:tcW w:w="1710" w:type="dxa"/>
          </w:tcPr>
          <w:p>
            <w:pPr>
              <w:pStyle w:val="Compact"/>
            </w:pPr>
            <w:r>
              <w:t xml:space="preserve">CLM-2024-2165</w:t>
            </w:r>
          </w:p>
        </w:tc>
        <w:tc>
          <w:tcPr>
            <w:tcW w:w="1982" w:type="dxa"/>
          </w:tcPr>
          <w:p>
            <w:pPr>
              <w:pStyle w:val="Compact"/>
            </w:pPr>
            <w:r>
              <w:t xml:space="preserve">flag_review</w:t>
            </w:r>
          </w:p>
        </w:tc>
        <w:tc>
          <w:tcPr>
            <w:tcW w:w="1979" w:type="dxa"/>
          </w:tcPr>
          <w:p>
            <w:pPr>
              <w:pStyle w:val="Compact"/>
            </w:pPr>
            <w:r>
              <w:t xml:space="preserve">flag_review</w:t>
            </w:r>
          </w:p>
        </w:tc>
        <w:tc>
          <w:tcPr>
            <w:tcW w:w="1742" w:type="dxa"/>
          </w:tcPr>
          <w:p>
            <w:pPr>
              <w:pStyle w:val="Compact"/>
            </w:pPr>
            <w:r>
              <w:t xml:space="preserve">5 documentation</w:t>
            </w:r>
          </w:p>
        </w:tc>
        <w:tc>
          <w:tcPr>
            <w:tcW w:w="734" w:type="dxa"/>
          </w:tcPr>
          <w:p>
            <w:pPr>
              <w:pStyle w:val="Compact"/>
            </w:pPr>
            <w:r>
              <w:t xml:space="preserve">✓</w:t>
            </w:r>
          </w:p>
        </w:tc>
        <w:tc>
          <w:tcPr>
            <w:tcW w:w="1033" w:type="dxa"/>
          </w:tcPr>
          <w:p>
            <w:pPr>
              <w:pStyle w:val="Compact"/>
            </w:pPr>
            <w:r>
              <w:t xml:space="preserve">—</w:t>
            </w:r>
          </w:p>
        </w:tc>
      </w:tr>
    </w:tbl>
    <w:p>
      <w:pPr>
        <w:pStyle w:val="BodyText"/>
      </w:pPr>
      <w:r>
        <w:t xml:space="preserve">A disagreement here is not automatically a bug. W1-F05 is meant to disagree: the dates say the policy lapsed, and only reading the renewal-premium receipt shows it may not have. That is what Coverage Check is for. Any other disagreement means the labels or the gates are wrong, and it gets resolved in DECISIONS.md before Week 3.</w:t>
      </w:r>
    </w:p>
    <w:bookmarkEnd w:id="86"/>
    <w:bookmarkEnd w:id="87"/>
    <w:sectPr>
      <w:footerReference w:type="default" r:id="rIdFtr1"/>
      <w:pgSz w:w="12240" w:h="15840"/>
      <w:pgMar w:top="1080" w:right="1080" w:bottom="1080" w:left="1080" w:header="576" w:footer="57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right"/>
    </w:pPr>
    <w:r>
      <w:rPr>
        <w:sz w:val="16"/>
        <w:color w:val="6B7280"/>
      </w:rPr>
      <w:t xml:space="preserve">ClaimSense AI · SOW-ASI-2026-01 · W2 deliverables · page </w:t>
    </w:r>
    <w:r>
      <w:rPr>
        <w:sz w:val="16"/>
        <w:color w:val="6B7280"/>
      </w:rPr>
      <w:fldChar w:fldCharType="begin"/>
    </w:r>
    <w:r>
      <w:rPr>
        <w:sz w:val="16"/>
        <w:color w:val="6B7280"/>
      </w:rPr>
      <w:instrText xml:space="preserve"> PAGE </w:instrText>
    </w:r>
    <w:r>
      <w:rPr>
        <w:sz w:val="16"/>
        <w:color w:val="6B72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rFonts w:ascii="Calibri" w:cs="Calibri" w:hAnsi="Calibri"/>
        <w:sz w:val="20"/>
        <w:szCs w:val="20"/>
        <w:lang w:bidi="ar-SA" w:eastAsia="zh-CN" w:val="en-US"/>
      </w:rPr>
    </w:rPrDefault>
    <w:pPrDefault>
      <w:pPr>
        <w:spacing w:after="10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pPr>
    <w:rPr>
      <w:sz w:val="17"/>
      <w:szCs w:val="17"/>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0F2D52"/>
      <w:sz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80" w:before="360"/>
      <w:outlineLvl w:val="0"/>
    </w:pPr>
    <w:rPr>
      <w:rFonts w:ascii="Calibri" w:hAnsi="Calibri"/>
      <w:b/>
      <w:color w:val="0F2D52"/>
      <w:sz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0F2D52"/>
      <w:sz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0F2D52"/>
      <w:sz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hAnsi="Calibri"/>
      <w:b/>
      <w:color w:val="0F2D52"/>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hAnsi="Calibri"/>
      <w:b/>
      <w:color w:val="0F2D52"/>
      <w:sz w:val="2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hAnsi="Calibri"/>
      <w:b/>
      <w:color w:val="0F2D52"/>
      <w:sz w:val="2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hAnsi="Calibri"/>
      <w:b/>
      <w:color w:val="0F2D52"/>
      <w:sz w:val="2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hAnsi="Calibri"/>
      <w:b/>
      <w:color w:val="0F2D52"/>
      <w:sz w:val="2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hAnsi="Calibri"/>
      <w:b/>
      <w:color w:val="0F2D52"/>
      <w:sz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8C2CF" w:sz="4" w:val="single"/>
        <w:left w:color="B8C2CF" w:sz="4" w:val="single"/>
        <w:bottom w:color="B8C2CF" w:sz="4" w:val="single"/>
        <w:right w:color="B8C2CF" w:sz="4" w:val="single"/>
        <w:insideH w:color="B8C2CF" w:sz="4" w:val="single"/>
        <w:insideV w:color="B8C2CF" w:sz="4" w:val="single"/>
      </w:tblBorders>
      <w:tblCellMar>
        <w:top w:type="dxa" w:w="50"/>
        <w:left w:type="dxa" w:w="90"/>
        <w:bottom w:type="dxa" w:w="50"/>
        <w:right w:type="dxa" w:w="90"/>
      </w:tblCellMar>
    </w:tblPr>
    <w:tblStylePr w:type="firstRow">
      <w:rPr>
        <w:b/>
        <w:color w:val="0F2D52"/>
      </w:rPr>
      <w:tcPr>
        <w:shd w:color="auto" w:fill="E3EAF4"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ClaimSense AI — Statement of Work, Pricing &amp; Architecture</dc:title>
  <dc:creator>Client: AutoSure Insurance, Houston TX (synthetic) · FDE: Pranjal</dc:creator>
  <cp:keywords/>
  <dcterms:created xsi:type="dcterms:W3CDTF">2026-10-16T01:09:00Z</dcterms:created>
  <dcterms:modified xsi:type="dcterms:W3CDTF">2026-10-16T01:09:00Z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Submitted 2026-10-09 · SOW-ASI-2026-01 v1.0</vt:lpwstr>
  </property>
  <property fmtid="{D5CDD505-2E9C-101B-9397-08002B2CF9AE}" pid="3" name="subtitle">
    <vt:lpwstr>FDE Capstone · Milestone W2 (Course Week 14) · Stack A: OpenAI Agents SDK + AWS</vt:lpwstr>
  </property>
</Properties>
</file>