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2E74B5"/>
          <w:sz w:val="36"/>
        </w:rPr>
        <w:t>Fiji Cyclone Anticipatory Action</w:t>
      </w:r>
    </w:p>
    <w:p>
      <w:pPr>
        <w:spacing w:after="200"/>
      </w:pPr>
      <w:r>
        <w:rPr>
          <w:i/>
          <w:color w:val="1F4D78"/>
          <w:sz w:val="22"/>
        </w:rPr>
        <w:t>Theory of Change - Full EAP training example</w:t>
      </w:r>
    </w:p>
    <w:p>
      <w:pPr>
        <w:spacing w:after="200"/>
      </w:pPr>
      <w:r>
        <w:rPr>
          <w:b/>
        </w:rPr>
        <w:t xml:space="preserve">Use of this document: </w:t>
      </w:r>
      <w:r>
        <w:t>This is a realistic training fixture for API and form testing. It is not an approved Fiji Red Cross operational protocol. Replace the assumptions, thresholds, areas, partners and evidence with reviewed source material before any real submission.</w:t>
      </w:r>
    </w:p>
    <w:p>
      <w:pPr>
        <w:pStyle w:val="Heading1"/>
      </w:pPr>
      <w:r>
        <w:t>Intended impact</w:t>
      </w:r>
    </w:p>
    <w:p>
      <w:r>
        <w:t>People in forecast-exposed communities experience fewer avoidable cyclone-related injuries, displacement, losses of essential household assets and interruptions to safe water access.</w:t>
      </w:r>
    </w:p>
    <w:p>
      <w:pPr>
        <w:pStyle w:val="Heading1"/>
      </w:pPr>
      <w:r>
        <w:t>Outcome</w:t>
      </w:r>
    </w:p>
    <w:p>
      <w:r>
        <w:t>When a credible tropical cyclone forecast meets the agreed trigger, priority households and evacuation centres complete practical, inclusive preparedness actions before dangerous conditions restrict movement and delivery.</w:t>
      </w:r>
    </w:p>
    <w:p>
      <w:pPr>
        <w:pStyle w:val="Heading1"/>
      </w:pPr>
      <w:r>
        <w:t>Change pathway</w:t>
      </w:r>
    </w:p>
    <w:p>
      <w:pPr>
        <w:pStyle w:val="ListNumber"/>
        <w:spacing w:after="80" w:line="300" w:lineRule="auto"/>
      </w:pPr>
      <w:r>
        <w:t>The forecast focal point monitors the official cyclone forecast and records probability, expected wind and rainfall impacts, lead time and areas of concern in the decision table.</w:t>
      </w:r>
    </w:p>
    <w:p>
      <w:pPr>
        <w:pStyle w:val="ListNumber"/>
        <w:spacing w:after="80" w:line="300" w:lineRule="auto"/>
      </w:pPr>
      <w:r>
        <w:t>The technical working group validates that the forecast and expected impacts meet the agreed trigger, and the authorized decision-maker documents the activation decision.</w:t>
      </w:r>
    </w:p>
    <w:p>
      <w:pPr>
        <w:pStyle w:val="ListNumber"/>
        <w:spacing w:after="80" w:line="300" w:lineRule="auto"/>
      </w:pPr>
      <w:r>
        <w:t>Branches, suppliers and partners mobilize pre-agreed shelter, water-storage, hygiene, accessible early-warning and evacuation-centre readiness actions within the 72-hour activation window.</w:t>
      </w:r>
    </w:p>
    <w:p>
      <w:pPr>
        <w:pStyle w:val="ListNumber"/>
        <w:spacing w:after="80" w:line="300" w:lineRule="auto"/>
      </w:pPr>
      <w:r>
        <w:t>MEAL teams collect reach, timeliness, inclusion, feedback and safeguarding information; the National Society uses the findings to improve subsequent simulations and protocol revisions.</w:t>
      </w:r>
    </w:p>
    <w:p>
      <w:pPr>
        <w:pStyle w:val="Heading1"/>
      </w:pPr>
      <w:r>
        <w:t>Key assumptions</w:t>
      </w:r>
    </w:p>
    <w:p>
      <w:pPr>
        <w:pStyle w:val="ListBullet"/>
        <w:spacing w:after="80" w:line="300" w:lineRule="auto"/>
      </w:pPr>
      <w:r>
        <w:t>Official forecasts are available and sufficiently reliable to support a safe decision within the agreed lead time.</w:t>
      </w:r>
    </w:p>
    <w:p>
      <w:pPr>
        <w:pStyle w:val="ListBullet"/>
        <w:spacing w:after="80" w:line="300" w:lineRule="auto"/>
      </w:pPr>
      <w:r>
        <w:t>Branches can contact priority communities and suppliers using pre-agreed, accessible communication channels.</w:t>
      </w:r>
    </w:p>
    <w:p>
      <w:pPr>
        <w:pStyle w:val="ListBullet"/>
        <w:spacing w:after="80" w:line="300" w:lineRule="auto"/>
      </w:pPr>
      <w:r>
        <w:t>Transport, stock, staff and volunteer capacity remain available before hazardous conditions make delivery unsafe.</w:t>
      </w:r>
    </w:p>
    <w:p>
      <w:pPr>
        <w:pStyle w:val="ListBullet"/>
        <w:spacing w:after="80" w:line="300" w:lineRule="auto"/>
      </w:pPr>
      <w:r>
        <w:t>Government authorities, communities and partners support coordinated, do-no-harm early action and feedback mechanisms.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Training fixture - not for operational use without review and approval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Fiji Cyclone Anticipatory Action - Theory of Change</dc:title>
  <dc:subject>Full EAP training fixture</dc:subject>
  <dc:creator>IFRC GO EAP migration example</dc:creator>
  <cp:keywords/>
  <dc:description>Training fixture; no personal contact details.</dc:description>
  <cp:lastModifiedBy/>
  <cp:revision>1</cp:revision>
  <dcterms:created xsi:type="dcterms:W3CDTF">2013-12-23T23:15:00Z</dcterms:created>
  <dcterms:modified xsi:type="dcterms:W3CDTF">2013-12-23T23:15:00Z</dcterms:modified>
  <cp:category/>
</cp:coreProperties>
</file>