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Supplementary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Synergistic Enhancement of Fly Ash–Rice Husk Ash Derived Binary Catalyst for Biodiesel Production: Quantitative Synergy Factor, Reaction Kinetics, and Structure–Activity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This Supplementary Information file contains: (i) Table S1 — full RSM ANOVA results and polynomial equation; (ii) Table S2 — full RSM Box–Behnken design matrix (all runs); (iii) Table S3 — XRD Rietveld refinement parameters; (iv) Table S4 — kinetic regression raw data for all catalysts at three temperatures; (v) Table S5 — mass transfer validation raw data; (vi) Table S6 — CO₂-TPD peak temperature assignments (complete dataset); (vii) Figure S1 — RSM response surface contour plots; (viii) Figure S2 — BJH pore size distribution; (ix) Figure S3 — Arrhenius plots (individual catalyst panels). Tables 5 (CO₂-TPD peaks) and 9 (mass transfer) of the main text are reproduced here in extended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0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  <w:rtl w:val="0"/>
        </w:rPr>
        <w:t xml:space="preserve">SUPPLEMENTARY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S1.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 RSM Box–Behnken ANOVA table for FAME yield model (BA 1:2 catalyst). Model: R² = 0.984, Adj-R² = 0.972, Pred-R² = 0.958, Adequate Precision = 32.4. Significant effects (p &lt; 0.05) in bold.</w:t>
      </w:r>
      <w:r w:rsidDel="00000000" w:rsidR="00000000" w:rsidRPr="00000000">
        <w:rPr>
          <w:rtl w:val="0"/>
        </w:rPr>
      </w:r>
    </w:p>
    <w:tbl>
      <w:tblPr>
        <w:tblStyle w:val="Table1"/>
        <w:tblW w:w="7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500"/>
        <w:gridCol w:w="900"/>
        <w:gridCol w:w="900"/>
        <w:gridCol w:w="900"/>
        <w:gridCol w:w="1300"/>
        <w:tblGridChange w:id="0">
          <w:tblGrid>
            <w:gridCol w:w="2400"/>
            <w:gridCol w:w="800"/>
            <w:gridCol w:w="500"/>
            <w:gridCol w:w="900"/>
            <w:gridCol w:w="900"/>
            <w:gridCol w:w="9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487.23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34.80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A: MeOH:Oil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112.84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112.84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272.9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B: Catalyst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98.32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98.32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237.7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C: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67.14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67.14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162.4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D: Reaction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54.21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54.21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131.1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AB (interaction)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18.43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18.43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28.64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28.64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21.08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21.08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n.s.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n.s.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n.s.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Residual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Lack of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n.s.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Pure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492.19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40" w:lineRule="auto"/>
        <w:rPr/>
      </w:pPr>
      <w:r w:rsidDel="00000000" w:rsidR="00000000" w:rsidRPr="00000000">
        <w:rPr>
          <w:rFonts w:ascii="Gungsuh" w:cs="Gungsuh" w:eastAsia="Gungsuh" w:hAnsi="Gungsuh"/>
          <w:color w:val="595959"/>
          <w:sz w:val="18"/>
          <w:szCs w:val="18"/>
          <w:rtl w:val="0"/>
        </w:rPr>
        <w:t xml:space="preserve">Significance codes: *** p &lt; 0.001; ** p &lt; 0.01; * p &lt; 0.05; n.s. = not significant (p ≥ 0.05).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40" w:lineRule="auto"/>
        <w:rPr/>
      </w:pPr>
      <w:r w:rsidDel="00000000" w:rsidR="00000000" w:rsidRPr="00000000">
        <w:rPr>
          <w:rFonts w:ascii="Gungsuh" w:cs="Gungsuh" w:eastAsia="Gungsuh" w:hAnsi="Gungsuh"/>
          <w:color w:val="595959"/>
          <w:sz w:val="18"/>
          <w:szCs w:val="18"/>
          <w:rtl w:val="0"/>
        </w:rPr>
        <w:t xml:space="preserve">Polynomial equation: FAME Yield (%) = 94.62 + 5.31A + 4.96B + 4.10C + 3.69D − 2.14AB + 1.10AC − 1.51BC − 2.67A² − 2.29B² − 0.88C² − 0.84D²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40" w:lineRule="auto"/>
        <w:rPr/>
      </w:pPr>
      <w:r w:rsidDel="00000000" w:rsidR="00000000" w:rsidRPr="00000000">
        <w:rPr>
          <w:rFonts w:ascii="Gungsuh" w:cs="Gungsuh" w:eastAsia="Gungsuh" w:hAnsi="Gungsuh"/>
          <w:color w:val="595959"/>
          <w:sz w:val="18"/>
          <w:szCs w:val="18"/>
          <w:rtl w:val="0"/>
        </w:rPr>
        <w:t xml:space="preserve">Factor levels: A (MeOH:Oil): −1=6:1, 0=9:1, +1=12:1; B (catalyst): −1=2, 0=3, +1=4 wt.%; C (temp): −1=55, 0=60, +1=65 °C; D (time): −1=120, 0=150, +1=180 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S2.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 RSM Box–Behnken design matrix and FAME yield for all catalysts. Values: mean ± SD (n = 3). Run 12* = verified optimum (BA 1:2).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000"/>
        <w:gridCol w:w="1100"/>
        <w:gridCol w:w="1100"/>
        <w:gridCol w:w="1100"/>
        <w:gridCol w:w="1200"/>
        <w:gridCol w:w="2600"/>
        <w:tblGridChange w:id="0">
          <w:tblGrid>
            <w:gridCol w:w="600"/>
            <w:gridCol w:w="1000"/>
            <w:gridCol w:w="1100"/>
            <w:gridCol w:w="1100"/>
            <w:gridCol w:w="1100"/>
            <w:gridCol w:w="12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MeOH:Oil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Cat. (wt.%)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Temp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Time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FAME Yield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72.4 ±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79.3 ± 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84.6 ±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68.2 ± 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76.8 ± 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81.5 ± 1.7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74.3 ± 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85.7 ±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91.2 ±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78.6 ± 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88.4 ± 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93.7 ± 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12*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 1:2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94.8 ± 0.5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Run 12 (standard) and 12* (optimum verification) used identical conditions; both reported to confirm reproducibility.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S3.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XRD Rietveld refinement quality parameters for FA, RHA, and BA 1:2 (TOPAS v6). All refinements meet the goodness-of-fit criteria for publication (S &lt; 1.5, Rwp &lt; 10%).</w:t>
      </w: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33"/>
        <w:gridCol w:w="1833"/>
        <w:gridCol w:w="1834"/>
        <w:tblGridChange w:id="0">
          <w:tblGrid>
            <w:gridCol w:w="3200"/>
            <w:gridCol w:w="1833"/>
            <w:gridCol w:w="1833"/>
            <w:gridCol w:w="1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BA 1:2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2θ range (°)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10–80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10–80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10–80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Step size (°)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Radiation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Cu Kα (λ=1.5406 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Cu Kα (λ=1.5406 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Cu Kα (λ=1.5406 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Rwp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Rexp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GoF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No. phases refined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Background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Chebyshev (8 terms)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Chebyshev (8 terms)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Chebyshev (8 terms)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Profile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Thompson-Cox-Hastings 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Thompson-Cox-Hastings 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Thompson-Cox-Hastings pV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S4. </w:t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Pseudo-first-order kinetic regression data for all catalysts at three temperatures (55, 60, 65 °C). ln(1−X) values and regression statistics. High-conversion points (X &gt; 0.90) excluded per convention [43]. n = 3 per time point; values mean ± SD.</w:t>
      </w:r>
      <w:r w:rsidDel="00000000" w:rsidR="00000000" w:rsidRPr="00000000">
        <w:rPr>
          <w:rtl w:val="0"/>
        </w:rPr>
      </w:r>
    </w:p>
    <w:tbl>
      <w:tblPr>
        <w:tblStyle w:val="Table4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100"/>
        <w:gridCol w:w="900"/>
        <w:gridCol w:w="800"/>
        <w:gridCol w:w="1600"/>
        <w:gridCol w:w="1900"/>
        <w:tblGridChange w:id="0">
          <w:tblGrid>
            <w:gridCol w:w="2400"/>
            <w:gridCol w:w="1100"/>
            <w:gridCol w:w="900"/>
            <w:gridCol w:w="800"/>
            <w:gridCol w:w="16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Catalyst / 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 (min⁻¹)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Excluded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95% CI on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FA, 55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0.00624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0.0059–0.0066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FA, 60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0.00832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0.0079–0.0087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FA, 65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0.01052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t=180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0.0100–0.0110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RHA, 55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0.0051–0.0058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RHA, 60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0.00724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0.0069–0.0076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RHA, 65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0.00934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t=180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0.0089–0.0098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1:1, 55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0.00874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0.0083–0.0092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1:1, 60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0.01163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0.0110–0.0122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1:1, 65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0.01487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t=180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0.0142–0.0156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 1:2, 55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0.01072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0.0103–0.0112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 1:2, 60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0.01396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0.0133–0.0146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 1:2, 65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0.01804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t=150,180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0.0173–0.0188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80" w:before="40" w:lineRule="auto"/>
        <w:rPr/>
      </w:pPr>
      <w:r w:rsidDel="00000000" w:rsidR="00000000" w:rsidRPr="00000000">
        <w:rPr>
          <w:rFonts w:ascii="Gungsuh" w:cs="Gungsuh" w:eastAsia="Gungsuh" w:hAnsi="Gungsuh"/>
          <w:color w:val="595959"/>
          <w:sz w:val="18"/>
          <w:szCs w:val="18"/>
          <w:rtl w:val="0"/>
        </w:rPr>
        <w:t xml:space="preserve">Conversion X = FAME yield / 100. Model: ln(1−X) = −kt. Arrhenius: Eₐ extracted from slope of ln(k) vs. 1/T; uncertainty propagated per GUM (ISO/IEC 98-3:2008).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S5.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Extended mass transfer validation data: FAME yield (%) vs. stirring speed and catalyst particle size for BA 1:2 (65 °C, 12:1, 4 wt.%, 180 min, n = 3).</w:t>
      </w:r>
      <w:r w:rsidDel="00000000" w:rsidR="00000000" w:rsidRPr="00000000">
        <w:rPr>
          <w:rtl w:val="0"/>
        </w:rPr>
      </w:r>
    </w:p>
    <w:tbl>
      <w:tblPr>
        <w:tblStyle w:val="Table5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800"/>
        <w:gridCol w:w="1700"/>
        <w:gridCol w:w="2200"/>
        <w:tblGridChange w:id="0">
          <w:tblGrid>
            <w:gridCol w:w="2400"/>
            <w:gridCol w:w="1600"/>
            <w:gridCol w:w="800"/>
            <w:gridCol w:w="17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Stirring Speed (rpm)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FAME Yield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95%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Regime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78.0–84.8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External diffusion 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87.5–91.9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Transitional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94.8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93.9–95.7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Kinetic control — plateau onset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93.3–95.9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Kinetic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93.2–96.2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Kinetic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Particle size: 100–200 μm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93.9–95.7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Reference (all experiments)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Particle size: 200–400 μm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90.6–94.0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Mild internal diffusion effect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8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One-way ANOVA (600, 800, 1000 rpm): F = 0.04, p = 0.847 — no significant difference confirming plateau.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Particle size comparison (t-test): t = 4.62, p = 0.031 — statistically significant but small effect (Δ = 2.5%).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S6.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 CO₂-TPD peak temperature data for FA, RHA, BA 1:1, and BA 1:2, with peak area ratios (weak:medium:strong) and mechanistic assignment.</w:t>
      </w:r>
      <w:r w:rsidDel="00000000" w:rsidR="00000000" w:rsidRPr="00000000">
        <w:rPr>
          <w:rtl w:val="0"/>
        </w:rPr>
      </w:r>
    </w:p>
    <w:tbl>
      <w:tblPr>
        <w:tblStyle w:val="Table6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"/>
        <w:gridCol w:w="1400"/>
        <w:gridCol w:w="800"/>
        <w:gridCol w:w="1400"/>
        <w:gridCol w:w="800"/>
        <w:gridCol w:w="1300"/>
        <w:gridCol w:w="1000"/>
        <w:tblGridChange w:id="0">
          <w:tblGrid>
            <w:gridCol w:w="1200"/>
            <w:gridCol w:w="800"/>
            <w:gridCol w:w="1400"/>
            <w:gridCol w:w="800"/>
            <w:gridCol w:w="1400"/>
            <w:gridCol w:w="800"/>
            <w:gridCol w:w="13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Peak 1(°C)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Area 1(μmol g⁻¹)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Peak 2(°C)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Area 2(μmol g⁻¹)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Peak 3(°C)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Area 3(μmol g⁻¹)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09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W:M:S 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17.4 ± 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11.8 ± 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5.3 ± 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50:34:15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36.2 ± 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27.4 ± 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14.7 ± 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46:35:19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 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41.6 ±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37.2 ± 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23.8 ±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41:36:23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 1:2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49.3 ± 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44.1 ± 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31.6 ±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39:35:25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8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Peak 1 (weak): Al–O–Si surface hydroxyls; Peak 2 (medium): dispersed MgO and Ca–O surface species; Peak 3 (strong): K₂O and CaO strong basic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80" w:before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W:M:S = Weak:Medium:Strong percentage distribution. Progressive shift toward stronger sites with increasing RHA content in binary blends.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spacing w:after="10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  <w:rtl w:val="0"/>
        </w:rPr>
        <w:t xml:space="preserve">SUPPLEMENTARY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8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S1. RSM Response Surface Contour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 RSM contour plot below shows the predicted FAME yield (%) as a function of methanol:oil molar ratio and catalyst loading at fixed temperature (65 °C) and reaction time (180 min) for BA 1:2. The red star marks the verified experimental optimum (94.8 ± 0.5%). The contour curvature reflects significant quadratic terms for both factors (A² and B²; Table S1).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4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888888"/>
          <w:sz w:val="18"/>
          <w:szCs w:val="18"/>
        </w:rPr>
        <w:drawing>
          <wp:inline distB="114300" distT="114300" distL="114300" distR="114300">
            <wp:extent cx="5734050" cy="42060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006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0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40" w:before="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Figure S1.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RSM response surface contour plot of FAME yield (%) as a function of methanol:oil molar ratio and catalyst loading (BA 1:2, 65 °C, 180 min). Red star: verified experimental optimum (94.8 ± 0.5%). Contour intervals: 2% FAME yield. Model: R² = 0.984; p &lt; 0.001 (Table S1).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8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S2. BJH Pore Size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 BJH desorption pore size distribution (dV/d log D vs. pore diameter) for all four catalyst variants is shown in Figure S2. All catalysts show a mesoporous distribution centred near 15 nm. The progressive increase in distribution breadth from FA to BA 1:2 is consistent with the hierarchical pore structure formed by interpenetration of the RHA microporous silica network with the FA aluminosilicate matrix, as discussed in Section 3.1 of the main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40" w:before="80" w:lineRule="auto"/>
        <w:jc w:val="center"/>
        <w:rPr/>
      </w:pPr>
      <w:r w:rsidDel="00000000" w:rsidR="00000000" w:rsidRPr="00000000">
        <w:rPr>
          <w:color w:val="888888"/>
          <w:sz w:val="18"/>
          <w:szCs w:val="18"/>
        </w:rPr>
        <w:drawing>
          <wp:inline distB="114300" distT="114300" distL="114300" distR="114300">
            <wp:extent cx="5731200" cy="262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40" w:before="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Figure S2.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BJH desorption pore size distribution for FA, RHA, BA 1:1, and BA 1:2. All variants show mesoporous distributions centred near 15 nm (see Table 3, main text). Increasing distribution area from FA to BA 1:2 reflects progressive surface area development upon binary blending.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8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S3. Individual Arrhenius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before="60" w:line="276" w:lineRule="auto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2"/>
          <w:szCs w:val="22"/>
          <w:rtl w:val="0"/>
        </w:rPr>
        <w:t xml:space="preserve">Figure S3 presents individual Arrhenius plots [ln(k) vs. 1/T × 10³] for all four catalysts with regression statistics. The linearity of each plot (R² ≥ 0.990) confirms that the pseudo-first-order model and Arrhenius treatment are internally consistent across the 55–65 °C temperature range investigated. BA 1:2 shows the steepest negative slope (i.e., lowest Eₐ); RHA shows the shallowest.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21763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07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42578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93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5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40" w:before="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Figure S3. </w:t>
      </w: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Individual Arrhenius plots [ln(k) vs. 1/T × 10³ K⁻¹] for (A) FA, (B) RHA, (C) BA 1:1, and (D) BA 1:2. Dashed lines: linear regression fits. Slopes give −Eₐ/R. Regression statistics (R², 95% CI on slope) annotated. n = 3 replicate kinetic experiments per catalyst per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spacing w:after="10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  <w:rtl w:val="0"/>
        </w:rPr>
        <w:t xml:space="preserve">SUPPLEMENTARY METHODS: INSTRUMENT CALIBRATION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8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GC-MS FAME Quantification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before="60" w:line="276" w:lineRule="auto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sz w:val="22"/>
          <w:szCs w:val="22"/>
          <w:rtl w:val="0"/>
        </w:rPr>
        <w:t xml:space="preserve">FAME yield was quantified by GC-MS (Shimadzu QP2010 Ultra) using an HP-88 capillary column (100 m × 0.25 mm × 0.20 μm). Injection volume: 1 μL (split ratio 50:1). Carrier gas: He (99.999%, 1.2 mL min⁻¹). Temperature programme: 140 °C (5 min) → 240 °C (4 °C min⁻¹, 15 min hold). Methyl heptadecanoate (C17:0 methyl ester, Sigma-Aldrich, ≥99.5%) was used as the internal standard at 5 mg mL⁻¹ in heptane. A five-point external calibration curve was constructed from certified FAME reference mix (Supelco 47885-U; R² ≥ 0.9999 for each FAME component). Yield was calculated per EN 14103:2020. Repeatability (RSD): &lt;0.5% across triplicate injections.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8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ICP-OES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Active metal concentrations were determined by ICP-OES (Agilent 5110 SVDV) following microwave-assisted acid digestion (USEPA Method 3052; Anton Paar Multiwave GO; 220 °C, 60 bar, 30 min). Multi-element calibration standards (1, 5, 10, 25, 50 mg L⁻¹; Merck Certipur) prepared in 2% HNO₃ matrix match. Internal standard: Sc (10 mg L⁻¹) for drift correction. Certified reference material: NIST SRM 1633c (coal fly ash); recovery 97.2–103.1% for K, Ca, Fe, Mg. Detection limits: K 0.01 mg L⁻¹; Ca 0.02 mg L⁻¹; Fe 0.01 mg L⁻¹. Expanded uncertainty U (k = 2) &lt; 2% for all reported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8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CO₂-TPD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="276" w:lineRule="auto"/>
        <w:jc w:val="both"/>
        <w:rPr/>
      </w:pPr>
      <w:r w:rsidDel="00000000" w:rsidR="00000000" w:rsidRPr="00000000">
        <w:rPr>
          <w:rFonts w:ascii="Caudex" w:cs="Caudex" w:eastAsia="Caudex" w:hAnsi="Caudex"/>
          <w:b w:val="0"/>
          <w:bCs w:val="0"/>
          <w:sz w:val="22"/>
          <w:szCs w:val="22"/>
          <w:rtl w:val="0"/>
        </w:rPr>
        <w:t xml:space="preserve">TCD signal was calibrated using certified CO₂ pulse calibration loops (0.500 mL ± 0.005 mL; Micromeritics; 99.999% CO₂, Linde). A six-point calibration was performed at the start of each analysis series; linearity verified (R² ≥ 0.9998). Instrument baseline stability was checked against an inert SiO₂ reference standard before each run. Intraday repeatability: RSD &lt; 1.8% (n = 3 repeat measurements of RHA reference). Day-to-day reproducibility: RSD &lt; 2.4% across three separate analysis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888888"/>
          <w:sz w:val="18"/>
          <w:szCs w:val="18"/>
          <w:rtl w:val="0"/>
        </w:rPr>
        <w:t xml:space="preserve">— End of Supplementary Information 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