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pacing w:val="40"/>
          <w:sz w:val="18"/>
          <w:szCs w:val="18"/>
        </w:rPr>
        <w:t xml:space="preserve">CAPSTONE · MODULE 20 · SUMMARY OF FINDINGS</w:t>
      </w:r>
    </w:p>
    <w:p>
      <w:pPr>
        <w:pBdr>
          <w:bottom w:val="single" w:color="1F3864" w:sz="12" w:space="6"/>
        </w:pBdr>
        <w:spacing w:after="200"/>
      </w:pPr>
      <w:r>
        <w:rPr>
          <w:sz w:val="2"/>
          <w:szCs w:val="2"/>
        </w:rPr>
        <w:t xml:space="preserve"/>
      </w:r>
    </w:p>
    <w:p>
      <w:pPr>
        <w:spacing w:after="100"/>
      </w:pPr>
      <w:r>
        <w:rPr>
          <w:rFonts w:ascii="Calibri" w:cs="Calibri" w:eastAsia="Calibri" w:hAnsi="Calibri"/>
          <w:b/>
          <w:bCs/>
          <w:color w:val="1F3864"/>
          <w:sz w:val="34"/>
          <w:szCs w:val="34"/>
        </w:rPr>
        <w:t xml:space="preserve">Decomposing and Predicting the US Treasury Yield Curve</w:t>
      </w:r>
    </w:p>
    <w:p>
      <w:pPr>
        <w:spacing w:after="260"/>
      </w:pPr>
      <w:r>
        <w:rPr>
          <w:rFonts w:ascii="Calibri" w:cs="Calibri" w:eastAsia="Calibri" w:hAnsi="Calibri"/>
          <w:i/>
          <w:iCs/>
          <w:color w:val="44546A"/>
          <w:sz w:val="21"/>
          <w:szCs w:val="21"/>
        </w:rPr>
        <w:t xml:space="preserve">Initial Report and Exploratory Data Analysis · Arun Pandey · Post Graduate Program in AI and Machine Learning</w:t>
      </w:r>
    </w:p>
    <w:tbl>
      <w:tblPr>
        <w:tblW w:type="dxa" w:w="9360"/>
        <w:tblBorders>
          <w:top w:val="single" w:color="B4C0D4" w:sz="2"/>
          <w:left w:val="single" w:color="B4C0D4" w:sz="2"/>
          <w:bottom w:val="single" w:color="B4C0D4" w:sz="2"/>
          <w:right w:val="single" w:color="B4C0D4" w:sz="2"/>
          <w:insideH w:val="single" w:color="D3DAE6" w:sz="2"/>
          <w:insideV w:val="single" w:color="D3DAE6" w:sz="2"/>
        </w:tblBorders>
      </w:tblPr>
      <w:tblGrid>
        <w:gridCol w:w="2400"/>
        <w:gridCol w:w="6960"/>
      </w:tblGrid>
      <w:tr>
        <w:trPr>
          <w:tblHeader/>
        </w:trPr>
        <w:tc>
          <w:tcPr>
            <w:tcW w:type="dxa" w:w="2400"/>
            <w:shd w:fill="1F3864" w:color="auto" w:val="clear"/>
            <w:tcMar>
              <w:top w:type="dxa" w:w="80"/>
              <w:left w:type="dxa" w:w="110"/>
              <w:bottom w:type="dxa" w:w="80"/>
              <w:right w:type="dxa" w:w="110"/>
            </w:tcMar>
            <w:vAlign w:val="center"/>
          </w:tcPr>
          <w:p>
            <w:pPr>
              <w:spacing w:after="0" w:line="250"/>
            </w:pPr>
            <w:r>
              <w:rPr>
                <w:rFonts w:ascii="Calibri" w:cs="Calibri" w:eastAsia="Calibri" w:hAnsi="Calibri"/>
                <w:b/>
                <w:bCs/>
                <w:color w:val="FFFFFF"/>
                <w:sz w:val="19"/>
                <w:szCs w:val="19"/>
              </w:rPr>
              <w:t xml:space="preserve">Item</w:t>
            </w:r>
          </w:p>
        </w:tc>
        <w:tc>
          <w:tcPr>
            <w:tcW w:type="dxa" w:w="6960"/>
            <w:shd w:fill="1F3864" w:color="auto" w:val="clear"/>
            <w:tcMar>
              <w:top w:type="dxa" w:w="80"/>
              <w:left w:type="dxa" w:w="110"/>
              <w:bottom w:type="dxa" w:w="80"/>
              <w:right w:type="dxa" w:w="110"/>
            </w:tcMar>
            <w:vAlign w:val="center"/>
          </w:tcPr>
          <w:p>
            <w:pPr>
              <w:spacing w:after="0" w:line="250"/>
            </w:pPr>
            <w:r>
              <w:rPr>
                <w:rFonts w:ascii="Calibri" w:cs="Calibri" w:eastAsia="Calibri" w:hAnsi="Calibri"/>
                <w:b/>
                <w:bCs/>
                <w:color w:val="FFFFFF"/>
                <w:sz w:val="19"/>
                <w:szCs w:val="19"/>
              </w:rPr>
              <w:t xml:space="preserve">Detail</w:t>
            </w:r>
          </w:p>
        </w:tc>
      </w:tr>
      <w:tr>
        <w:tc>
          <w:tcPr>
            <w:tcW w:type="dxa" w:w="2400"/>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Research question</w:t>
            </w:r>
          </w:p>
        </w:tc>
        <w:tc>
          <w:tcPr>
            <w:tcW w:type="dxa" w:w="696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Can the shape of the US Treasury yield curve predict the direction of the ten-year yield one month ahead, better than a random walk?</w:t>
            </w:r>
          </w:p>
        </w:tc>
      </w:tr>
      <w:tr>
        <w:tc>
          <w:tcPr>
            <w:tcW w:type="dxa" w:w="2400"/>
            <w:shd w:fill="EEF1F7" w:color="auto" w:val="clear"/>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Primary dataset</w:t>
            </w:r>
          </w:p>
        </w:tc>
        <w:tc>
          <w:tcPr>
            <w:tcW w:type="dxa" w:w="6960"/>
            <w:shd w:fill="EEF1F7" w:color="auto" w:val="clear"/>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US Treasury Yields (Kaggle, author Guillem SD, CC BY-NC 4.0) — eleven tenors, daily, FRED-sourced</w:t>
            </w:r>
          </w:p>
        </w:tc>
      </w:tr>
      <w:tr>
        <w:tc>
          <w:tcPr>
            <w:tcW w:type="dxa" w:w="2400"/>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Baseline model</w:t>
            </w:r>
          </w:p>
        </w:tc>
        <w:tc>
          <w:tcPr>
            <w:tcW w:type="dxa" w:w="696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Regularised logistic regression</w:t>
            </w:r>
          </w:p>
        </w:tc>
      </w:tr>
      <w:tr>
        <w:tc>
          <w:tcPr>
            <w:tcW w:type="dxa" w:w="2400"/>
            <w:shd w:fill="EEF1F7" w:color="auto" w:val="clear"/>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Primary metric</w:t>
            </w:r>
          </w:p>
        </w:tc>
        <w:tc>
          <w:tcPr>
            <w:tcW w:type="dxa" w:w="6960"/>
            <w:shd w:fill="EEF1F7" w:color="auto" w:val="clear"/>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ROC-AUC, with accuracy against a random-walk benchmark as the secondary measure</w:t>
            </w:r>
          </w:p>
        </w:tc>
      </w:tr>
      <w:tr>
        <w:tc>
          <w:tcPr>
            <w:tcW w:type="dxa" w:w="2400"/>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Notebook</w:t>
            </w:r>
          </w:p>
        </w:tc>
        <w:tc>
          <w:tcPr>
            <w:tcW w:type="dxa" w:w="696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notebooks/01_eda_and_baseline_model.ipynb</w:t>
            </w:r>
          </w:p>
        </w:tc>
      </w:tr>
      <w:tr>
        <w:tc>
          <w:tcPr>
            <w:tcW w:type="dxa" w:w="2400"/>
            <w:shd w:fill="EEF1F7" w:color="auto" w:val="clear"/>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Repository</w:t>
            </w:r>
          </w:p>
        </w:tc>
        <w:tc>
          <w:tcPr>
            <w:tcW w:type="dxa" w:w="6960"/>
            <w:shd w:fill="EEF1F7" w:color="auto" w:val="clear"/>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https://github.com/&lt;your-username&gt;/&lt;your-repo&gt;</w:t>
            </w:r>
          </w:p>
        </w:tc>
      </w:tr>
    </w:tbl>
    <w:p>
      <w:pPr>
        <w:spacing w:after="220"/>
      </w:pPr>
      <w:r>
        <w:t xml:space="preserve"/>
      </w:r>
    </w:p>
    <w:p>
      <w:pPr>
        <w:pStyle w:val="Heading1"/>
        <w:spacing w:after="160" w:before="360"/>
      </w:pPr>
      <w:r>
        <w:rPr>
          <w:rFonts w:ascii="Calibri" w:cs="Calibri" w:eastAsia="Calibri" w:hAnsi="Calibri"/>
          <w:b/>
          <w:bCs/>
          <w:color w:val="1F3864"/>
          <w:sz w:val="30"/>
          <w:szCs w:val="30"/>
        </w:rPr>
        <w:t xml:space="preserve">1. What this project asks</w:t>
      </w:r>
    </w:p>
    <w:p>
      <w:pPr>
        <w:pBdr>
          <w:bottom w:val="single" w:color="1F3864" w:sz="8" w:space="1"/>
        </w:pBdr>
        <w:spacing w:after="200" w:before="60"/>
      </w:pPr>
      <w:r>
        <w:rPr>
          <w:sz w:val="2"/>
          <w:szCs w:val="2"/>
        </w:rPr>
        <w:t xml:space="preserve"/>
      </w:r>
    </w:p>
    <w:p>
      <w:pPr>
        <w:spacing w:after="140" w:line="276"/>
      </w:pPr>
      <w:r>
        <w:rPr>
          <w:rFonts w:ascii="Calibri" w:cs="Calibri" w:eastAsia="Calibri" w:hAnsi="Calibri"/>
          <w:sz w:val="21"/>
          <w:szCs w:val="21"/>
        </w:rPr>
        <w:t xml:space="preserve">The US Treasury yield curve shows what the American government pays to borrow money over different lengths of time — from one month out to thirty years. It matters far beyond government borrowing: corporate bonds, mortgages, interest rate swaps, equity valuation models and emerging market sovereign debt are all priced relative to it.</w:t>
      </w:r>
    </w:p>
    <w:p>
      <w:pPr>
        <w:spacing w:after="140" w:line="276"/>
      </w:pPr>
      <w:r>
        <w:rPr>
          <w:rFonts w:ascii="Calibri" w:cs="Calibri" w:eastAsia="Calibri" w:hAnsi="Calibri"/>
          <w:sz w:val="21"/>
          <w:szCs w:val="21"/>
        </w:rPr>
        <w:t xml:space="preserve">This project asks a simple question with a difficult answer. If you know the shape of the curve today — how high it sits, how steeply it slopes, how it bends in the middle — together with what the central bank is doing and how nervous markets are, can you say anything useful about whether the ten-year yield will be higher or lower in a month's time?</w:t>
      </w:r>
    </w:p>
    <w:p>
      <w:pPr>
        <w:spacing w:after="140" w:line="276"/>
      </w:pPr>
      <w:r>
        <w:rPr>
          <w:rFonts w:ascii="Calibri" w:cs="Calibri" w:eastAsia="Calibri" w:hAnsi="Calibri"/>
          <w:b/>
          <w:bCs/>
          <w:sz w:val="21"/>
          <w:szCs w:val="21"/>
        </w:rPr>
        <w:t xml:space="preserve">The honest expectation is that any predictive edge will be small. </w:t>
      </w:r>
      <w:r>
        <w:rPr>
          <w:rFonts w:ascii="Calibri" w:cs="Calibri" w:eastAsia="Calibri" w:hAnsi="Calibri"/>
          <w:sz w:val="21"/>
          <w:szCs w:val="21"/>
        </w:rPr>
        <w:t xml:space="preserve">The Treasury market is one of the most heavily analysed markets in the world, and if a simple pattern reliably predicted yields it would have been traded away long ago. The value of the project lies in measuring how much predictability exists and reporting it accurately, rather than in producing an impressive number.</w:t>
      </w:r>
    </w:p>
    <w:p>
      <w:pPr>
        <w:pStyle w:val="Heading1"/>
        <w:spacing w:after="160" w:before="360"/>
      </w:pPr>
      <w:r>
        <w:rPr>
          <w:rFonts w:ascii="Calibri" w:cs="Calibri" w:eastAsia="Calibri" w:hAnsi="Calibri"/>
          <w:b/>
          <w:bCs/>
          <w:color w:val="1F3864"/>
          <w:sz w:val="30"/>
          <w:szCs w:val="30"/>
        </w:rPr>
        <w:t xml:space="preserve">2. Why it matters</w:t>
      </w:r>
    </w:p>
    <w:p>
      <w:pPr>
        <w:pBdr>
          <w:bottom w:val="single" w:color="1F3864" w:sz="8" w:space="1"/>
        </w:pBdr>
        <w:spacing w:after="200" w:before="60"/>
      </w:pPr>
      <w:r>
        <w:rPr>
          <w:sz w:val="2"/>
          <w:szCs w:val="2"/>
        </w:rPr>
        <w:t xml:space="preserve"/>
      </w:r>
    </w:p>
    <w:p>
      <w:pPr>
        <w:spacing w:after="140" w:line="276"/>
      </w:pPr>
      <w:r>
        <w:rPr>
          <w:rFonts w:ascii="Calibri" w:cs="Calibri" w:eastAsia="Calibri" w:hAnsi="Calibri"/>
          <w:sz w:val="21"/>
          <w:szCs w:val="21"/>
        </w:rPr>
        <w:t xml:space="preserve">When yields rise, the market value of existing bonds falls. Banks, insurers and pension funds hold very large bond portfolios, so this is not an abstract concern — it is a direct hit to earnings and, in severe cases, to solvency.</w:t>
      </w:r>
    </w:p>
    <w:p>
      <w:pPr>
        <w:spacing w:after="140" w:line="276"/>
      </w:pPr>
      <w:r>
        <w:rPr>
          <w:rFonts w:ascii="Calibri" w:cs="Calibri" w:eastAsia="Calibri" w:hAnsi="Calibri"/>
          <w:sz w:val="21"/>
          <w:szCs w:val="21"/>
        </w:rPr>
        <w:t xml:space="preserve">The failure of Silicon Valley Bank in March 2023 is the clearest recent example. The bank held a concentrated portfolio of long-dated securities bought when yields were low. As the Federal Reserve raised rates through the fastest tightening cycle in four decades, those holdings lost substantial market value. The losses were unrealised until depositor withdrawals forced the bank to sell, at which point they became real and the institution failed.</w:t>
      </w:r>
    </w:p>
    <w:p>
      <w:pPr>
        <w:spacing w:after="140" w:line="276"/>
      </w:pPr>
      <w:r>
        <w:rPr>
          <w:rFonts w:ascii="Calibri" w:cs="Calibri" w:eastAsia="Calibri" w:hAnsi="Calibri"/>
          <w:sz w:val="21"/>
          <w:szCs w:val="21"/>
        </w:rPr>
        <w:t xml:space="preserve">Decisions about how much of this risk to carry are taken continuously on trading desks, and they are usually informed by narrative judgement rather than by measurement. This project asks whether measurement can add anything.</w:t>
      </w:r>
    </w:p>
    <w:p>
      <w:pPr>
        <w:pStyle w:val="Heading1"/>
        <w:spacing w:after="160" w:before="360"/>
      </w:pPr>
      <w:r>
        <w:rPr>
          <w:rFonts w:ascii="Calibri" w:cs="Calibri" w:eastAsia="Calibri" w:hAnsi="Calibri"/>
          <w:b/>
          <w:bCs/>
          <w:color w:val="1F3864"/>
          <w:sz w:val="30"/>
          <w:szCs w:val="30"/>
        </w:rPr>
        <w:t xml:space="preserve">3. The data</w:t>
      </w:r>
    </w:p>
    <w:p>
      <w:pPr>
        <w:pBdr>
          <w:bottom w:val="single" w:color="1F3864" w:sz="8" w:space="1"/>
        </w:pBdr>
        <w:spacing w:after="200" w:before="60"/>
      </w:pPr>
      <w:r>
        <w:rPr>
          <w:sz w:val="2"/>
          <w:szCs w:val="2"/>
        </w:rPr>
        <w:t xml:space="preserve"/>
      </w:r>
    </w:p>
    <w:p>
      <w:pPr>
        <w:spacing w:after="140" w:line="276"/>
      </w:pPr>
      <w:r>
        <w:rPr>
          <w:rFonts w:ascii="Calibri" w:cs="Calibri" w:eastAsia="Calibri" w:hAnsi="Calibri"/>
          <w:sz w:val="21"/>
          <w:szCs w:val="21"/>
        </w:rPr>
        <w:t xml:space="preserve">The primary dataset is a Kaggle publication of daily US Treasury yields at eleven maturities, originally sourced from the Federal Reserve Bank of St. Louis. It was chosen because a study of the curve's shape needs every maturity observed on the same days; most public bond datasets provide only a single maturity, which cannot support this analysis.</w:t>
      </w:r>
    </w:p>
    <w:p>
      <w:pPr>
        <w:spacing w:after="140" w:line="276"/>
      </w:pPr>
      <w:r>
        <w:rPr>
          <w:rFonts w:ascii="Calibri" w:cs="Calibri" w:eastAsia="Calibri" w:hAnsi="Calibri"/>
          <w:sz w:val="21"/>
          <w:szCs w:val="21"/>
        </w:rPr>
        <w:t xml:space="preserve">Seven additional daily series provide context: the Federal Reserve's policy rate, market-implied inflation expectations, the VIX index of equity market volatility, corporate credit spreads, the oil price, the dollar exchange rate index, and consumer price inflation.</w:t>
      </w:r>
    </w:p>
    <w:p>
      <w:pPr>
        <w:pStyle w:val="Heading2"/>
        <w:spacing w:after="120" w:before="260"/>
      </w:pPr>
      <w:r>
        <w:rPr>
          <w:rFonts w:ascii="Calibri" w:cs="Calibri" w:eastAsia="Calibri" w:hAnsi="Calibri"/>
          <w:b/>
          <w:bCs/>
          <w:color w:val="2E5496"/>
          <w:sz w:val="24"/>
          <w:szCs w:val="24"/>
        </w:rPr>
        <w:t xml:space="preserve">Cleaning the data</w:t>
      </w:r>
    </w:p>
    <w:p>
      <w:pPr>
        <w:pStyle w:val="ListParagraph"/>
        <w:numPr>
          <w:ilvl w:val="0"/>
          <w:numId w:val="2"/>
        </w:numPr>
        <w:spacing w:after="90" w:line="276"/>
      </w:pPr>
      <w:r>
        <w:rPr>
          <w:rFonts w:ascii="Calibri" w:cs="Calibri" w:eastAsia="Calibri" w:hAnsi="Calibri"/>
          <w:b/>
          <w:bCs/>
          <w:sz w:val="21"/>
          <w:szCs w:val="21"/>
        </w:rPr>
        <w:t xml:space="preserve">Missing values. </w:t>
      </w:r>
      <w:r>
        <w:rPr>
          <w:rFonts w:ascii="Calibri" w:cs="Calibri" w:eastAsia="Calibri" w:hAnsi="Calibri"/>
          <w:sz w:val="21"/>
          <w:szCs w:val="21"/>
        </w:rPr>
        <w:t xml:space="preserve">The gaps in the data are not random. Different maturities were introduced in different decades, and the twenty-year bond was discontinued for six years in the late 1980s. These structural gaps were handled by restricting the analysis to the period from August 2001, when all eleven maturities are available together. Isolated one-day gaps caused by market holidays were filled with the previous day's value, which is the economically correct treatment for a price that simply did not trade.</w:t>
      </w:r>
    </w:p>
    <w:p>
      <w:pPr>
        <w:pStyle w:val="ListParagraph"/>
        <w:numPr>
          <w:ilvl w:val="0"/>
          <w:numId w:val="2"/>
        </w:numPr>
        <w:spacing w:after="90" w:line="276"/>
      </w:pPr>
      <w:r>
        <w:rPr>
          <w:rFonts w:ascii="Calibri" w:cs="Calibri" w:eastAsia="Calibri" w:hAnsi="Calibri"/>
          <w:b/>
          <w:bCs/>
          <w:sz w:val="21"/>
          <w:szCs w:val="21"/>
        </w:rPr>
        <w:t xml:space="preserve">Duplicates. </w:t>
      </w:r>
      <w:r>
        <w:rPr>
          <w:rFonts w:ascii="Calibri" w:cs="Calibri" w:eastAsia="Calibri" w:hAnsi="Calibri"/>
          <w:sz w:val="21"/>
          <w:szCs w:val="21"/>
        </w:rPr>
        <w:t xml:space="preserve">Repeated dates were identified and removed. Days on which every maturity happened to print an identical value were inspected and retained, since these reflect quiet markets rather than errors.</w:t>
      </w:r>
    </w:p>
    <w:p>
      <w:pPr>
        <w:pStyle w:val="ListParagraph"/>
        <w:numPr>
          <w:ilvl w:val="0"/>
          <w:numId w:val="2"/>
        </w:numPr>
        <w:spacing w:after="90" w:line="276"/>
      </w:pPr>
      <w:r>
        <w:rPr>
          <w:rFonts w:ascii="Calibri" w:cs="Calibri" w:eastAsia="Calibri" w:hAnsi="Calibri"/>
          <w:b/>
          <w:bCs/>
          <w:sz w:val="21"/>
          <w:szCs w:val="21"/>
        </w:rPr>
        <w:t xml:space="preserve">Timing of economic releases. </w:t>
      </w:r>
      <w:r>
        <w:rPr>
          <w:rFonts w:ascii="Calibri" w:cs="Calibri" w:eastAsia="Calibri" w:hAnsi="Calibri"/>
          <w:sz w:val="21"/>
          <w:szCs w:val="21"/>
        </w:rPr>
        <w:t xml:space="preserve">Inflation data is published about two weeks after the month it describes. Using it on the wrong date would let the model see information that had not yet been released — a subtle error that would make the results look far better than they are. Every inflation observation was shifted to its actual publication date.</w:t>
      </w:r>
    </w:p>
    <w:p>
      <w:pPr>
        <w:pStyle w:val="Heading2"/>
        <w:spacing w:after="120" w:before="260"/>
      </w:pPr>
      <w:r>
        <w:rPr>
          <w:rFonts w:ascii="Calibri" w:cs="Calibri" w:eastAsia="Calibri" w:hAnsi="Calibri"/>
          <w:b/>
          <w:bCs/>
          <w:color w:val="2E5496"/>
          <w:sz w:val="24"/>
          <w:szCs w:val="24"/>
        </w:rPr>
        <w:t xml:space="preserve">Extreme observations</w:t>
      </w:r>
    </w:p>
    <w:p>
      <w:pPr>
        <w:spacing w:after="140" w:line="276"/>
      </w:pPr>
      <w:r>
        <w:rPr>
          <w:rFonts w:ascii="Calibri" w:cs="Calibri" w:eastAsia="Calibri" w:hAnsi="Calibri"/>
          <w:sz w:val="21"/>
          <w:szCs w:val="21"/>
        </w:rPr>
        <w:t xml:space="preserve">Large single-day moves in yields were identified using two standard statistical tests. They did not appear at random: they clustered in identifiable crisis periods, principally the 2008 financial crisis, the March 2020 pandemic dislocation, and the 2022 to 2023 rate rises.</w:t>
      </w:r>
    </w:p>
    <w:p>
      <w:pPr>
        <w:spacing w:after="140" w:line="276"/>
      </w:pPr>
      <w:r>
        <w:rPr>
          <w:rFonts w:ascii="Calibri" w:cs="Calibri" w:eastAsia="Calibri" w:hAnsi="Calibri"/>
          <w:sz w:val="21"/>
          <w:szCs w:val="21"/>
        </w:rPr>
        <w:t xml:space="preserve">This pattern identifies them as genuine market events rather than data errors, and they were therefore kept rather than removed. Deleting them would have removed exactly the behaviour the project sets out to study, and would have produced a model that systematically understates the risk of large adverse moves — the precise failure that made 2022 so costly for bond portfolios.</w:t>
      </w:r>
    </w:p>
    <w:p>
      <w:pPr>
        <w:pStyle w:val="Heading1"/>
        <w:spacing w:after="160" w:before="360"/>
      </w:pPr>
      <w:r>
        <w:rPr>
          <w:rFonts w:ascii="Calibri" w:cs="Calibri" w:eastAsia="Calibri" w:hAnsi="Calibri"/>
          <w:b/>
          <w:bCs/>
          <w:color w:val="1F3864"/>
          <w:sz w:val="30"/>
          <w:szCs w:val="30"/>
        </w:rPr>
        <w:t xml:space="preserve">4. What the analysis found</w:t>
      </w:r>
    </w:p>
    <w:p>
      <w:pPr>
        <w:pBdr>
          <w:bottom w:val="single" w:color="1F3864" w:sz="8" w:space="1"/>
        </w:pBdr>
        <w:spacing w:after="200" w:before="60"/>
      </w:pPr>
      <w:r>
        <w:rPr>
          <w:sz w:val="2"/>
          <w:szCs w:val="2"/>
        </w:rPr>
        <w:t xml:space="preserve"/>
      </w:r>
    </w:p>
    <w:p>
      <w:pPr>
        <w:pStyle w:val="Heading2"/>
        <w:spacing w:after="120" w:before="260"/>
      </w:pPr>
      <w:r>
        <w:rPr>
          <w:rFonts w:ascii="Calibri" w:cs="Calibri" w:eastAsia="Calibri" w:hAnsi="Calibri"/>
          <w:b/>
          <w:bCs/>
          <w:color w:val="2E5496"/>
          <w:sz w:val="24"/>
          <w:szCs w:val="24"/>
        </w:rPr>
        <w:t xml:space="preserve">The curve is simpler than it looks</w:t>
      </w:r>
    </w:p>
    <w:p>
      <w:pPr>
        <w:spacing w:after="140" w:line="276"/>
      </w:pPr>
      <w:r>
        <w:rPr>
          <w:rFonts w:ascii="Calibri" w:cs="Calibri" w:eastAsia="Calibri" w:hAnsi="Calibri"/>
          <w:sz w:val="21"/>
          <w:szCs w:val="21"/>
        </w:rPr>
        <w:t xml:space="preserve">Although the curve is described by eleven separate yields, those yields move together closely. The analysis confirms that almost all of their day-to-day variation can be captured by just three underlying factors, which have clear and long-established interpretations:</w:t>
      </w:r>
    </w:p>
    <w:p>
      <w:pPr>
        <w:pStyle w:val="ListParagraph"/>
        <w:numPr>
          <w:ilvl w:val="0"/>
          <w:numId w:val="3"/>
        </w:numPr>
        <w:spacing w:after="90" w:line="276"/>
      </w:pPr>
      <w:r>
        <w:rPr>
          <w:rFonts w:ascii="Calibri" w:cs="Calibri" w:eastAsia="Calibri" w:hAnsi="Calibri"/>
          <w:sz w:val="21"/>
          <w:szCs w:val="21"/>
        </w:rPr>
        <w:t xml:space="preserve">Level — the whole curve moving up or down together. This accounts for the large majority of daily variation.</w:t>
      </w:r>
    </w:p>
    <w:p>
      <w:pPr>
        <w:pStyle w:val="ListParagraph"/>
        <w:numPr>
          <w:ilvl w:val="0"/>
          <w:numId w:val="3"/>
        </w:numPr>
        <w:spacing w:after="90" w:line="276"/>
      </w:pPr>
      <w:r>
        <w:rPr>
          <w:rFonts w:ascii="Calibri" w:cs="Calibri" w:eastAsia="Calibri" w:hAnsi="Calibri"/>
          <w:sz w:val="21"/>
          <w:szCs w:val="21"/>
        </w:rPr>
        <w:t xml:space="preserve">Slope — the gap between long and short maturities widening or narrowing.</w:t>
      </w:r>
    </w:p>
    <w:p>
      <w:pPr>
        <w:pStyle w:val="ListParagraph"/>
        <w:numPr>
          <w:ilvl w:val="0"/>
          <w:numId w:val="3"/>
        </w:numPr>
        <w:spacing w:after="90" w:line="276"/>
      </w:pPr>
      <w:r>
        <w:rPr>
          <w:rFonts w:ascii="Calibri" w:cs="Calibri" w:eastAsia="Calibri" w:hAnsi="Calibri"/>
          <w:sz w:val="21"/>
          <w:szCs w:val="21"/>
        </w:rPr>
        <w:t xml:space="preserve">Curvature — the middle of the curve moving relative to both ends.</w:t>
      </w:r>
    </w:p>
    <w:p>
      <w:pPr>
        <w:spacing w:after="140" w:line="276"/>
      </w:pPr>
      <w:r>
        <w:rPr>
          <w:rFonts w:ascii="Calibri" w:cs="Calibri" w:eastAsia="Calibri" w:hAnsi="Calibri"/>
          <w:sz w:val="21"/>
          <w:szCs w:val="21"/>
        </w:rPr>
        <w:t xml:space="preserve">Rather than asserting this interpretation from a chart, the project tests it numerically: whether the first factor is genuinely flat across maturities, whether the second increases steadily with maturity, and whether the third changes sign twice. All three tests are reported.</w:t>
      </w:r>
    </w:p>
    <w:p>
      <w:pPr>
        <w:pStyle w:val="Heading2"/>
        <w:spacing w:after="120" w:before="260"/>
      </w:pPr>
      <w:r>
        <w:rPr>
          <w:rFonts w:ascii="Calibri" w:cs="Calibri" w:eastAsia="Calibri" w:hAnsi="Calibri"/>
          <w:b/>
          <w:bCs/>
          <w:color w:val="2E5496"/>
          <w:sz w:val="24"/>
          <w:szCs w:val="24"/>
        </w:rPr>
        <w:t xml:space="preserve">Yield changes are riskier than a normal distribution suggests</w:t>
      </w:r>
    </w:p>
    <w:p>
      <w:pPr>
        <w:spacing w:after="140" w:line="276"/>
      </w:pPr>
      <w:r>
        <w:rPr>
          <w:rFonts w:ascii="Calibri" w:cs="Calibri" w:eastAsia="Calibri" w:hAnsi="Calibri"/>
          <w:sz w:val="21"/>
          <w:szCs w:val="21"/>
        </w:rPr>
        <w:t xml:space="preserve">Daily changes in yields are tightly clustered around zero most of the time, but with far more very large moves than a standard bell curve would predict. In practical terms, calm periods are calmer than a simple statistical model expects and turbulent periods are much more turbulent. Any risk model built on an assumption of normally distributed changes will understate the chance of a severe loss.</w:t>
      </w:r>
    </w:p>
    <w:p>
      <w:pPr>
        <w:pStyle w:val="Heading2"/>
        <w:spacing w:after="120" w:before="260"/>
      </w:pPr>
      <w:r>
        <w:rPr>
          <w:rFonts w:ascii="Calibri" w:cs="Calibri" w:eastAsia="Calibri" w:hAnsi="Calibri"/>
          <w:b/>
          <w:bCs/>
          <w:color w:val="2E5496"/>
          <w:sz w:val="24"/>
          <w:szCs w:val="24"/>
        </w:rPr>
        <w:t xml:space="preserve">No single indicator predicts the future</w:t>
      </w:r>
    </w:p>
    <w:p>
      <w:pPr>
        <w:spacing w:after="140" w:line="276"/>
      </w:pPr>
      <w:r>
        <w:rPr>
          <w:rFonts w:ascii="Calibri" w:cs="Calibri" w:eastAsia="Calibri" w:hAnsi="Calibri"/>
          <w:sz w:val="21"/>
          <w:szCs w:val="21"/>
        </w:rPr>
        <w:t xml:space="preserve">Each individual feature was tested against the subsequent yield change. All the relationships are weak. This is the expected result in an efficient market — a strong, simple relationship would have been exploited and eliminated. It does mean that if any predictive value exists, it must come from combining several weak signals rather than relying on one strong one.</w:t>
      </w:r>
    </w:p>
    <w:p>
      <w:pPr>
        <w:pStyle w:val="Heading2"/>
        <w:spacing w:after="120" w:before="260"/>
      </w:pPr>
      <w:r>
        <w:rPr>
          <w:rFonts w:ascii="Calibri" w:cs="Calibri" w:eastAsia="Calibri" w:hAnsi="Calibri"/>
          <w:b/>
          <w:bCs/>
          <w:color w:val="2E5496"/>
          <w:sz w:val="24"/>
          <w:szCs w:val="24"/>
        </w:rPr>
        <w:t xml:space="preserve">Market conditions do carry some information</w:t>
      </w:r>
    </w:p>
    <w:p>
      <w:pPr>
        <w:spacing w:after="140" w:line="276"/>
      </w:pPr>
      <w:r>
        <w:rPr>
          <w:rFonts w:ascii="Calibri" w:cs="Calibri" w:eastAsia="Calibri" w:hAnsi="Calibri"/>
          <w:sz w:val="21"/>
          <w:szCs w:val="21"/>
        </w:rPr>
        <w:t xml:space="preserve">When the sample is divided by market conditions — whether the curve is inverted, and whether volatility is high or low — the proportion of periods ending with higher yields does vary. This is a genuine, if modest, signal that conditioning on the prevailing environment is worthwhile.</w:t>
      </w:r>
    </w:p>
    <w:p>
      <w:pPr>
        <w:pStyle w:val="Heading2"/>
        <w:spacing w:after="120" w:before="260"/>
      </w:pPr>
      <w:r>
        <w:rPr>
          <w:rFonts w:ascii="Calibri" w:cs="Calibri" w:eastAsia="Calibri" w:hAnsi="Calibri"/>
          <w:b/>
          <w:bCs/>
          <w:color w:val="2E5496"/>
          <w:sz w:val="24"/>
          <w:szCs w:val="24"/>
        </w:rPr>
        <w:t xml:space="preserve">Headline results</w:t>
      </w:r>
    </w:p>
    <w:p>
      <w:pPr>
        <w:spacing w:after="140" w:line="276"/>
      </w:pPr>
      <w:r>
        <w:rPr>
          <w:rFonts w:ascii="Calibri" w:cs="Calibri" w:eastAsia="Calibri" w:hAnsi="Calibri"/>
          <w:i/>
          <w:iCs/>
          <w:color w:val="808080"/>
          <w:sz w:val="19"/>
          <w:szCs w:val="19"/>
        </w:rPr>
        <w:t xml:space="preserve">The table below is produced directly by the notebook. Figures should be transcribed from its output so that this document and the analysis cannot diverge.</w:t>
      </w:r>
    </w:p>
    <w:tbl>
      <w:tblPr>
        <w:tblW w:type="dxa" w:w="9360"/>
        <w:tblBorders>
          <w:top w:val="single" w:color="B4C0D4" w:sz="2"/>
          <w:left w:val="single" w:color="B4C0D4" w:sz="2"/>
          <w:bottom w:val="single" w:color="B4C0D4" w:sz="2"/>
          <w:right w:val="single" w:color="B4C0D4" w:sz="2"/>
          <w:insideH w:val="single" w:color="D3DAE6" w:sz="2"/>
          <w:insideV w:val="single" w:color="D3DAE6" w:sz="2"/>
        </w:tblBorders>
      </w:tblPr>
      <w:tblGrid>
        <w:gridCol w:w="3600"/>
        <w:gridCol w:w="2400"/>
        <w:gridCol w:w="3360"/>
      </w:tblGrid>
      <w:tr>
        <w:trPr>
          <w:tblHeader/>
        </w:trPr>
        <w:tc>
          <w:tcPr>
            <w:tcW w:type="dxa" w:w="3600"/>
            <w:shd w:fill="1F3864" w:color="auto" w:val="clear"/>
            <w:tcMar>
              <w:top w:type="dxa" w:w="80"/>
              <w:left w:type="dxa" w:w="110"/>
              <w:bottom w:type="dxa" w:w="80"/>
              <w:right w:type="dxa" w:w="110"/>
            </w:tcMar>
            <w:vAlign w:val="center"/>
          </w:tcPr>
          <w:p>
            <w:pPr>
              <w:spacing w:after="0" w:line="250"/>
            </w:pPr>
            <w:r>
              <w:rPr>
                <w:rFonts w:ascii="Calibri" w:cs="Calibri" w:eastAsia="Calibri" w:hAnsi="Calibri"/>
                <w:b/>
                <w:bCs/>
                <w:color w:val="FFFFFF"/>
                <w:sz w:val="19"/>
                <w:szCs w:val="19"/>
              </w:rPr>
              <w:t xml:space="preserve">Model</w:t>
            </w:r>
          </w:p>
        </w:tc>
        <w:tc>
          <w:tcPr>
            <w:tcW w:type="dxa" w:w="2400"/>
            <w:shd w:fill="1F3864" w:color="auto" w:val="clear"/>
            <w:tcMar>
              <w:top w:type="dxa" w:w="80"/>
              <w:left w:type="dxa" w:w="110"/>
              <w:bottom w:type="dxa" w:w="80"/>
              <w:right w:type="dxa" w:w="110"/>
            </w:tcMar>
            <w:vAlign w:val="center"/>
          </w:tcPr>
          <w:p>
            <w:pPr>
              <w:spacing w:after="0" w:line="250"/>
            </w:pPr>
            <w:r>
              <w:rPr>
                <w:rFonts w:ascii="Calibri" w:cs="Calibri" w:eastAsia="Calibri" w:hAnsi="Calibri"/>
                <w:b/>
                <w:bCs/>
                <w:color w:val="FFFFFF"/>
                <w:sz w:val="19"/>
                <w:szCs w:val="19"/>
              </w:rPr>
              <w:t xml:space="preserve">Accuracy</w:t>
            </w:r>
          </w:p>
        </w:tc>
        <w:tc>
          <w:tcPr>
            <w:tcW w:type="dxa" w:w="3360"/>
            <w:shd w:fill="1F3864" w:color="auto" w:val="clear"/>
            <w:tcMar>
              <w:top w:type="dxa" w:w="80"/>
              <w:left w:type="dxa" w:w="110"/>
              <w:bottom w:type="dxa" w:w="80"/>
              <w:right w:type="dxa" w:w="110"/>
            </w:tcMar>
            <w:vAlign w:val="center"/>
          </w:tcPr>
          <w:p>
            <w:pPr>
              <w:spacing w:after="0" w:line="250"/>
            </w:pPr>
            <w:r>
              <w:rPr>
                <w:rFonts w:ascii="Calibri" w:cs="Calibri" w:eastAsia="Calibri" w:hAnsi="Calibri"/>
                <w:b/>
                <w:bCs/>
                <w:color w:val="FFFFFF"/>
                <w:sz w:val="19"/>
                <w:szCs w:val="19"/>
              </w:rPr>
              <w:t xml:space="preserve">ROC-AUC</w:t>
            </w:r>
          </w:p>
        </w:tc>
      </w:tr>
      <w:tr>
        <w:tc>
          <w:tcPr>
            <w:tcW w:type="dxa" w:w="3600"/>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Logistic regression (baseline)</w:t>
            </w:r>
          </w:p>
        </w:tc>
        <w:tc>
          <w:tcPr>
            <w:tcW w:type="dxa" w:w="240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   ]</w:t>
            </w:r>
          </w:p>
        </w:tc>
        <w:tc>
          <w:tcPr>
            <w:tcW w:type="dxa" w:w="336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   ]</w:t>
            </w:r>
          </w:p>
        </w:tc>
      </w:tr>
      <w:tr>
        <w:tc>
          <w:tcPr>
            <w:tcW w:type="dxa" w:w="3600"/>
            <w:shd w:fill="EEF1F7" w:color="auto" w:val="clear"/>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Persistence (random walk benchmark)</w:t>
            </w:r>
          </w:p>
        </w:tc>
        <w:tc>
          <w:tcPr>
            <w:tcW w:type="dxa" w:w="2400"/>
            <w:shd w:fill="EEF1F7" w:color="auto" w:val="clear"/>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   ]</w:t>
            </w:r>
          </w:p>
        </w:tc>
        <w:tc>
          <w:tcPr>
            <w:tcW w:type="dxa" w:w="3360"/>
            <w:shd w:fill="EEF1F7" w:color="auto" w:val="clear"/>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   ]</w:t>
            </w:r>
          </w:p>
        </w:tc>
      </w:tr>
      <w:tr>
        <w:tc>
          <w:tcPr>
            <w:tcW w:type="dxa" w:w="3600"/>
            <w:tcMar>
              <w:top w:type="dxa" w:w="80"/>
              <w:left w:type="dxa" w:w="110"/>
              <w:bottom w:type="dxa" w:w="80"/>
              <w:right w:type="dxa" w:w="110"/>
            </w:tcMar>
            <w:vAlign w:val="center"/>
          </w:tcPr>
          <w:p>
            <w:pPr>
              <w:spacing w:after="0" w:line="250"/>
            </w:pPr>
            <w:r>
              <w:rPr>
                <w:rFonts w:ascii="Calibri" w:cs="Calibri" w:eastAsia="Calibri" w:hAnsi="Calibri"/>
                <w:b/>
                <w:bCs/>
                <w:sz w:val="19"/>
                <w:szCs w:val="19"/>
              </w:rPr>
              <w:t xml:space="preserve">Majority class benchmark</w:t>
            </w:r>
          </w:p>
        </w:tc>
        <w:tc>
          <w:tcPr>
            <w:tcW w:type="dxa" w:w="240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   ]</w:t>
            </w:r>
          </w:p>
        </w:tc>
        <w:tc>
          <w:tcPr>
            <w:tcW w:type="dxa" w:w="3360"/>
            <w:tcMar>
              <w:top w:type="dxa" w:w="80"/>
              <w:left w:type="dxa" w:w="110"/>
              <w:bottom w:type="dxa" w:w="80"/>
              <w:right w:type="dxa" w:w="110"/>
            </w:tcMar>
            <w:vAlign w:val="center"/>
          </w:tcPr>
          <w:p>
            <w:pPr>
              <w:spacing w:after="0" w:line="250"/>
            </w:pPr>
            <w:r>
              <w:rPr>
                <w:rFonts w:ascii="Calibri" w:cs="Calibri" w:eastAsia="Calibri" w:hAnsi="Calibri"/>
                <w:b w:val="false"/>
                <w:bCs w:val="false"/>
                <w:sz w:val="19"/>
                <w:szCs w:val="19"/>
              </w:rPr>
              <w:t xml:space="preserve">0.500</w:t>
            </w:r>
          </w:p>
        </w:tc>
      </w:tr>
    </w:tbl>
    <w:p>
      <w:pPr>
        <w:spacing w:after="180"/>
      </w:pPr>
      <w:r>
        <w:t xml:space="preserve"/>
      </w:r>
    </w:p>
    <w:p>
      <w:pPr>
        <w:pStyle w:val="Heading1"/>
        <w:spacing w:after="160" w:before="360"/>
      </w:pPr>
      <w:r>
        <w:rPr>
          <w:rFonts w:ascii="Calibri" w:cs="Calibri" w:eastAsia="Calibri" w:hAnsi="Calibri"/>
          <w:b/>
          <w:bCs/>
          <w:color w:val="1F3864"/>
          <w:sz w:val="30"/>
          <w:szCs w:val="30"/>
        </w:rPr>
        <w:t xml:space="preserve">5. How the model is judged</w:t>
      </w:r>
    </w:p>
    <w:p>
      <w:pPr>
        <w:pBdr>
          <w:bottom w:val="single" w:color="1F3864" w:sz="8" w:space="1"/>
        </w:pBdr>
        <w:spacing w:after="200" w:before="60"/>
      </w:pPr>
      <w:r>
        <w:rPr>
          <w:sz w:val="2"/>
          <w:szCs w:val="2"/>
        </w:rPr>
        <w:t xml:space="preserve"/>
      </w:r>
    </w:p>
    <w:p>
      <w:pPr>
        <w:spacing w:after="140" w:line="276"/>
      </w:pPr>
      <w:r>
        <w:rPr>
          <w:rFonts w:ascii="Calibri" w:cs="Calibri" w:eastAsia="Calibri" w:hAnsi="Calibri"/>
          <w:sz w:val="21"/>
          <w:szCs w:val="21"/>
        </w:rPr>
        <w:t xml:space="preserve">Two decisions about evaluation matter more than the choice of model itself.</w:t>
      </w:r>
    </w:p>
    <w:p>
      <w:pPr>
        <w:pStyle w:val="Heading2"/>
        <w:spacing w:after="120" w:before="260"/>
      </w:pPr>
      <w:r>
        <w:rPr>
          <w:rFonts w:ascii="Calibri" w:cs="Calibri" w:eastAsia="Calibri" w:hAnsi="Calibri"/>
          <w:b/>
          <w:bCs/>
          <w:color w:val="2E5496"/>
          <w:sz w:val="24"/>
          <w:szCs w:val="24"/>
        </w:rPr>
        <w:t xml:space="preserve">The measure of success</w:t>
      </w:r>
    </w:p>
    <w:p>
      <w:pPr>
        <w:spacing w:after="140" w:line="276"/>
      </w:pPr>
      <w:r>
        <w:rPr>
          <w:rFonts w:ascii="Calibri" w:cs="Calibri" w:eastAsia="Calibri" w:hAnsi="Calibri"/>
          <w:sz w:val="21"/>
          <w:szCs w:val="21"/>
        </w:rPr>
        <w:t xml:space="preserve">The headline measure is ROC-AUC, which assesses how well the model ranks days by their likelihood of a rising yield. This suits the way such a model would actually be used: not as a yes-or-no verdict, but as a confidence level informing how much interest rate risk to carry. A score of 0.50 means the model is no better than a coin toss. For this problem, 0.55 to 0.65 would represent a weak but potentially real edge, and anything above roughly 0.70 should be treated as a warning sign of a technical error rather than as a success.</w:t>
      </w:r>
    </w:p>
    <w:p>
      <w:pPr>
        <w:spacing w:after="140" w:line="276"/>
      </w:pPr>
      <w:r>
        <w:rPr>
          <w:rFonts w:ascii="Calibri" w:cs="Calibri" w:eastAsia="Calibri" w:hAnsi="Calibri"/>
          <w:sz w:val="21"/>
          <w:szCs w:val="21"/>
        </w:rPr>
        <w:t xml:space="preserve">Accuracy against a random-walk benchmark is reported alongside it, because the research question is framed explicitly as a comparison with that benchmark.</w:t>
      </w:r>
    </w:p>
    <w:p>
      <w:pPr>
        <w:pStyle w:val="Heading2"/>
        <w:spacing w:after="120" w:before="260"/>
      </w:pPr>
      <w:r>
        <w:rPr>
          <w:rFonts w:ascii="Calibri" w:cs="Calibri" w:eastAsia="Calibri" w:hAnsi="Calibri"/>
          <w:b/>
          <w:bCs/>
          <w:color w:val="2E5496"/>
          <w:sz w:val="24"/>
          <w:szCs w:val="24"/>
        </w:rPr>
        <w:t xml:space="preserve">Avoiding a very common error</w:t>
      </w:r>
    </w:p>
    <w:p>
      <w:pPr>
        <w:spacing w:after="140" w:line="276"/>
      </w:pPr>
      <w:r>
        <w:rPr>
          <w:rFonts w:ascii="Calibri" w:cs="Calibri" w:eastAsia="Calibri" w:hAnsi="Calibri"/>
          <w:sz w:val="21"/>
          <w:szCs w:val="21"/>
        </w:rPr>
        <w:t xml:space="preserve">The standard method of testing machine learning models involves splitting the data randomly. On financial data this is invalid, because a random split places future observations in the training set. The model then appears to perform well simply because it has effectively seen the answers.</w:t>
      </w:r>
    </w:p>
    <w:p>
      <w:pPr>
        <w:spacing w:after="140" w:line="276"/>
      </w:pPr>
      <w:r>
        <w:rPr>
          <w:rFonts w:ascii="Calibri" w:cs="Calibri" w:eastAsia="Calibri" w:hAnsi="Calibri"/>
          <w:sz w:val="21"/>
          <w:szCs w:val="21"/>
        </w:rPr>
        <w:t xml:space="preserve">This project instead trains only on data preceding each test period, and reserves the most recent portion of the history as a final examination that is used exactly once. This produces lower headline numbers than the naive approach would — and those lower numbers are the trustworthy ones.</w:t>
      </w:r>
    </w:p>
    <w:p>
      <w:pPr>
        <w:pStyle w:val="Heading1"/>
        <w:spacing w:after="160" w:before="360"/>
      </w:pPr>
      <w:r>
        <w:rPr>
          <w:rFonts w:ascii="Calibri" w:cs="Calibri" w:eastAsia="Calibri" w:hAnsi="Calibri"/>
          <w:b/>
          <w:bCs/>
          <w:color w:val="1F3864"/>
          <w:sz w:val="30"/>
          <w:szCs w:val="30"/>
        </w:rPr>
        <w:t xml:space="preserve">6. What comes next</w:t>
      </w:r>
    </w:p>
    <w:p>
      <w:pPr>
        <w:pBdr>
          <w:bottom w:val="single" w:color="1F3864" w:sz="8" w:space="1"/>
        </w:pBdr>
        <w:spacing w:after="200" w:before="60"/>
      </w:pPr>
      <w:r>
        <w:rPr>
          <w:sz w:val="2"/>
          <w:szCs w:val="2"/>
        </w:rPr>
        <w:t xml:space="preserve"/>
      </w:r>
    </w:p>
    <w:p>
      <w:pPr>
        <w:pStyle w:val="ListParagraph"/>
        <w:numPr>
          <w:ilvl w:val="0"/>
          <w:numId w:val="2"/>
        </w:numPr>
        <w:spacing w:after="90" w:line="276"/>
      </w:pPr>
      <w:r>
        <w:rPr>
          <w:rFonts w:ascii="Calibri" w:cs="Calibri" w:eastAsia="Calibri" w:hAnsi="Calibri"/>
          <w:sz w:val="21"/>
          <w:szCs w:val="21"/>
        </w:rPr>
        <w:t xml:space="preserve">Compare additional models — nearest neighbours, decision trees and support vector machines — against this baseline under identical testing conditions.</w:t>
      </w:r>
    </w:p>
    <w:p>
      <w:pPr>
        <w:pStyle w:val="ListParagraph"/>
        <w:numPr>
          <w:ilvl w:val="0"/>
          <w:numId w:val="2"/>
        </w:numPr>
        <w:spacing w:after="90" w:line="276"/>
      </w:pPr>
      <w:r>
        <w:rPr>
          <w:rFonts w:ascii="Calibri" w:cs="Calibri" w:eastAsia="Calibri" w:hAnsi="Calibri"/>
          <w:sz w:val="21"/>
          <w:szCs w:val="21"/>
        </w:rPr>
        <w:t xml:space="preserve">Demonstrate explicitly how much the invalid random-split method inflates apparent performance, by reporting both methods side by side.</w:t>
      </w:r>
    </w:p>
    <w:p>
      <w:pPr>
        <w:pStyle w:val="ListParagraph"/>
        <w:numPr>
          <w:ilvl w:val="0"/>
          <w:numId w:val="2"/>
        </w:numPr>
        <w:spacing w:after="90" w:line="276"/>
      </w:pPr>
      <w:r>
        <w:rPr>
          <w:rFonts w:ascii="Calibri" w:cs="Calibri" w:eastAsia="Calibri" w:hAnsi="Calibri"/>
          <w:sz w:val="21"/>
          <w:szCs w:val="21"/>
        </w:rPr>
        <w:t xml:space="preserve">Treat the decision threshold as a business decision, reflecting that being wrong in a rising-yield market costs more than missing a rally.</w:t>
      </w:r>
    </w:p>
    <w:p>
      <w:pPr>
        <w:pStyle w:val="ListParagraph"/>
        <w:numPr>
          <w:ilvl w:val="0"/>
          <w:numId w:val="2"/>
        </w:numPr>
        <w:spacing w:after="90" w:line="276"/>
      </w:pPr>
      <w:r>
        <w:rPr>
          <w:rFonts w:ascii="Calibri" w:cs="Calibri" w:eastAsia="Calibri" w:hAnsi="Calibri"/>
          <w:sz w:val="21"/>
          <w:szCs w:val="21"/>
        </w:rPr>
        <w:t xml:space="preserve">Test whether the relationships are stable across the 2008 financial crisis, after which official interest rates were held near zero for seven years.</w:t>
      </w:r>
    </w:p>
    <w:p>
      <w:pPr>
        <w:pStyle w:val="ListParagraph"/>
        <w:numPr>
          <w:ilvl w:val="0"/>
          <w:numId w:val="2"/>
        </w:numPr>
        <w:spacing w:after="90" w:line="276"/>
      </w:pPr>
      <w:r>
        <w:rPr>
          <w:rFonts w:ascii="Calibri" w:cs="Calibri" w:eastAsia="Calibri" w:hAnsi="Calibri"/>
          <w:sz w:val="21"/>
          <w:szCs w:val="21"/>
        </w:rPr>
        <w:t xml:space="preserve">Extend the method to the Indian Government Securities curve, which is the market I work in professionally and for which the US ten-year yield is the dominant external driver.</w:t>
      </w:r>
    </w:p>
    <w:p>
      <w:pPr>
        <w:spacing w:after="200"/>
      </w:pPr>
      <w:r>
        <w:t xml:space="preserve"/>
      </w:r>
    </w:p>
    <w:p>
      <w:pPr>
        <w:pStyle w:val="Heading1"/>
        <w:spacing w:after="160" w:before="360"/>
      </w:pPr>
      <w:r>
        <w:rPr>
          <w:rFonts w:ascii="Calibri" w:cs="Calibri" w:eastAsia="Calibri" w:hAnsi="Calibri"/>
          <w:b/>
          <w:bCs/>
          <w:color w:val="1F3864"/>
          <w:sz w:val="30"/>
          <w:szCs w:val="30"/>
        </w:rPr>
        <w:t xml:space="preserve">Supporting material</w:t>
      </w:r>
    </w:p>
    <w:p>
      <w:pPr>
        <w:pBdr>
          <w:bottom w:val="single" w:color="1F3864" w:sz="8" w:space="1"/>
        </w:pBdr>
        <w:spacing w:after="200" w:before="60"/>
      </w:pPr>
      <w:r>
        <w:rPr>
          <w:sz w:val="2"/>
          <w:szCs w:val="2"/>
        </w:rPr>
        <w:t xml:space="preserve"/>
      </w:r>
    </w:p>
    <w:p>
      <w:pPr>
        <w:spacing w:after="140" w:line="276"/>
      </w:pPr>
      <w:r>
        <w:rPr>
          <w:rFonts w:ascii="Calibri" w:cs="Calibri" w:eastAsia="Calibri" w:hAnsi="Calibri"/>
          <w:b/>
          <w:bCs/>
          <w:sz w:val="21"/>
          <w:szCs w:val="21"/>
        </w:rPr>
        <w:t xml:space="preserve">Jupyter notebook: </w:t>
      </w:r>
      <w:r>
        <w:rPr>
          <w:rFonts w:ascii="Calibri" w:cs="Calibri" w:eastAsia="Calibri" w:hAnsi="Calibri"/>
          <w:sz w:val="21"/>
          <w:szCs w:val="21"/>
        </w:rPr>
        <w:t xml:space="preserve">notebooks/01_eda_and_baseline_model.ipynb — data acquisition, cleaning, outlier analysis, feature engineering, exploratory analysis and the baseline model.</w:t>
      </w:r>
    </w:p>
    <w:p>
      <w:pPr>
        <w:spacing w:after="140" w:line="276"/>
      </w:pP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https://github.com/&lt;your-username&gt;/&lt;your-repo&gt;</w:t>
      </w:r>
    </w:p>
    <w:p>
      <w:pPr>
        <w:spacing w:after="140" w:line="276"/>
      </w:pPr>
      <w:r>
        <w:rPr>
          <w:rFonts w:ascii="Calibri" w:cs="Calibri" w:eastAsia="Calibri" w:hAnsi="Calibri"/>
          <w:b/>
          <w:bCs/>
          <w:sz w:val="21"/>
          <w:szCs w:val="21"/>
        </w:rPr>
        <w:t xml:space="preserve">Dataset: </w:t>
      </w:r>
      <w:r>
        <w:rPr>
          <w:rFonts w:ascii="Calibri" w:cs="Calibri" w:eastAsia="Calibri" w:hAnsi="Calibri"/>
          <w:sz w:val="21"/>
          <w:szCs w:val="21"/>
        </w:rPr>
        <w:t xml:space="preserve">Guillem SD, US Treasury Yields, Kaggle, licensed CC BY-NC 4.0. https://www.kaggle.com/datasets/guillemservera/us-treasury-yields-daily</w:t>
      </w:r>
    </w:p>
    <w:p>
      <w:pPr>
        <w:spacing w:after="140" w:line="276"/>
      </w:pPr>
      <w:r>
        <w:rPr>
          <w:rFonts w:ascii="Calibri" w:cs="Calibri" w:eastAsia="Calibri" w:hAnsi="Calibri"/>
          <w:b/>
          <w:bCs/>
          <w:sz w:val="21"/>
          <w:szCs w:val="21"/>
        </w:rPr>
        <w:t xml:space="preserve">Control series: </w:t>
      </w:r>
      <w:r>
        <w:rPr>
          <w:rFonts w:ascii="Calibri" w:cs="Calibri" w:eastAsia="Calibri" w:hAnsi="Calibri"/>
          <w:sz w:val="21"/>
          <w:szCs w:val="21"/>
        </w:rPr>
        <w:t xml:space="preserve">Federal Reserve Bank of St. Louis (FRED).</w:t>
      </w:r>
    </w:p>
    <w:p>
      <w:pPr>
        <w:spacing w:after="260"/>
      </w:pPr>
      <w:r>
        <w:t xml:space="preserve"/>
      </w:r>
    </w:p>
    <w:p>
      <w:pPr>
        <w:spacing w:after="140" w:line="276"/>
      </w:pPr>
      <w:r>
        <w:rPr>
          <w:rFonts w:ascii="Calibri" w:cs="Calibri" w:eastAsia="Calibri" w:hAnsi="Calibri"/>
          <w:i/>
          <w:iCs/>
          <w:color w:val="C0504D"/>
          <w:sz w:val="18"/>
          <w:szCs w:val="18"/>
        </w:rPr>
        <w:t xml:space="preserve">Replace the repository placeholder with your GitHub URL, and transcribe the results table from the notebook output, before submitting.</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Summary of Findings  |  Arun Pandey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Module 20 — Summary of Findings</dc:title>
  <dc:creator>Arun Pandey</dc:creator>
  <dc:description>Initial report and exploratory data analysis: US Treasury yield curve</dc:description>
  <cp:lastModifiedBy>Un-named</cp:lastModifiedBy>
  <cp:revision>1</cp:revision>
  <dcterms:created xsi:type="dcterms:W3CDTF">2026-08-20T17:43:55.428Z</dcterms:created>
  <dcterms:modified xsi:type="dcterms:W3CDTF">2026-08-20T17:43:55.442Z</dcterms:modified>
</cp:coreProperties>
</file>

<file path=docProps/custom.xml><?xml version="1.0" encoding="utf-8"?>
<Properties xmlns="http://schemas.openxmlformats.org/officeDocument/2006/custom-properties" xmlns:vt="http://schemas.openxmlformats.org/officeDocument/2006/docPropsVTypes"/>
</file>