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CF5A7" w14:textId="29CFD414" w:rsidR="00251265" w:rsidRPr="00251265" w:rsidRDefault="00251265" w:rsidP="00251265">
      <w:pPr>
        <w:shd w:val="clear" w:color="auto" w:fill="FFFFFF"/>
        <w:spacing w:after="210" w:line="312" w:lineRule="atLeast"/>
        <w:textAlignment w:val="baseline"/>
        <w:outlineLvl w:val="1"/>
        <w:rPr>
          <w:rFonts w:ascii="Source Sans Pro" w:eastAsia="Times New Roman" w:hAnsi="Source Sans Pro" w:cs="Times New Roman"/>
          <w:color w:val="444444"/>
          <w:spacing w:val="-11"/>
          <w:sz w:val="51"/>
          <w:szCs w:val="51"/>
          <w:lang w:eastAsia="en-IN"/>
        </w:rPr>
      </w:pPr>
      <w:r>
        <w:rPr>
          <w:rFonts w:ascii="Source Sans Pro" w:eastAsia="Times New Roman" w:hAnsi="Source Sans Pro" w:cs="Times New Roman"/>
          <w:color w:val="444444"/>
          <w:spacing w:val="-11"/>
          <w:sz w:val="51"/>
          <w:szCs w:val="51"/>
          <w:lang w:eastAsia="en-IN"/>
        </w:rPr>
        <w:t>Kinesis Data Streams vs Apache Kafka</w:t>
      </w:r>
    </w:p>
    <w:tbl>
      <w:tblPr>
        <w:tblW w:w="9300" w:type="dxa"/>
        <w:shd w:val="clear" w:color="auto" w:fill="FFFFFF"/>
        <w:tblCellMar>
          <w:left w:w="0" w:type="dxa"/>
          <w:right w:w="0" w:type="dxa"/>
        </w:tblCellMar>
        <w:tblLook w:val="04A0" w:firstRow="1" w:lastRow="0" w:firstColumn="1" w:lastColumn="0" w:noHBand="0" w:noVBand="1"/>
      </w:tblPr>
      <w:tblGrid>
        <w:gridCol w:w="1836"/>
        <w:gridCol w:w="3981"/>
        <w:gridCol w:w="3483"/>
      </w:tblGrid>
      <w:tr w:rsidR="00251265" w:rsidRPr="00251265" w14:paraId="19231E04" w14:textId="77777777" w:rsidTr="00251265">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3F58CDE0"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inherit" w:eastAsia="Times New Roman" w:hAnsi="inherit" w:cs="Times New Roman"/>
                <w:b/>
                <w:bCs/>
                <w:color w:val="666666"/>
                <w:sz w:val="21"/>
                <w:szCs w:val="21"/>
                <w:bdr w:val="none" w:sz="0" w:space="0" w:color="auto" w:frame="1"/>
                <w:lang w:eastAsia="en-IN"/>
              </w:rPr>
              <w:t>Concepts</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4CDEEBC8"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inherit" w:eastAsia="Times New Roman" w:hAnsi="inherit" w:cs="Times New Roman"/>
                <w:b/>
                <w:bCs/>
                <w:color w:val="666666"/>
                <w:sz w:val="21"/>
                <w:szCs w:val="21"/>
                <w:bdr w:val="none" w:sz="0" w:space="0" w:color="auto" w:frame="1"/>
                <w:lang w:eastAsia="en-IN"/>
              </w:rPr>
              <w:t>Apache Kafka</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1F083698"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inherit" w:eastAsia="Times New Roman" w:hAnsi="inherit" w:cs="Times New Roman"/>
                <w:b/>
                <w:bCs/>
                <w:color w:val="666666"/>
                <w:sz w:val="21"/>
                <w:szCs w:val="21"/>
                <w:bdr w:val="none" w:sz="0" w:space="0" w:color="auto" w:frame="1"/>
                <w:lang w:eastAsia="en-IN"/>
              </w:rPr>
              <w:t>AWS Kinesis Data Streams</w:t>
            </w:r>
          </w:p>
        </w:tc>
      </w:tr>
      <w:tr w:rsidR="00251265" w:rsidRPr="00251265" w14:paraId="3AC6D14B" w14:textId="77777777" w:rsidTr="00251265">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73434D27"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inherit" w:eastAsia="Times New Roman" w:hAnsi="inherit" w:cs="Times New Roman"/>
                <w:b/>
                <w:bCs/>
                <w:color w:val="666666"/>
                <w:sz w:val="21"/>
                <w:szCs w:val="21"/>
                <w:bdr w:val="none" w:sz="0" w:space="0" w:color="auto" w:frame="1"/>
                <w:lang w:eastAsia="en-IN"/>
              </w:rPr>
              <w:t>Data Storage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77F3B8DE"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Source Sans Pro" w:eastAsia="Times New Roman" w:hAnsi="Source Sans Pro" w:cs="Times New Roman"/>
                <w:color w:val="666666"/>
                <w:sz w:val="21"/>
                <w:szCs w:val="21"/>
                <w:lang w:eastAsia="en-IN"/>
              </w:rPr>
              <w:t>Partitions</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5C080579"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Source Sans Pro" w:eastAsia="Times New Roman" w:hAnsi="Source Sans Pro" w:cs="Times New Roman"/>
                <w:color w:val="666666"/>
                <w:sz w:val="21"/>
                <w:szCs w:val="21"/>
                <w:lang w:eastAsia="en-IN"/>
              </w:rPr>
              <w:t>Shards</w:t>
            </w:r>
          </w:p>
        </w:tc>
      </w:tr>
      <w:tr w:rsidR="00251265" w:rsidRPr="00251265" w14:paraId="463CEF41" w14:textId="77777777" w:rsidTr="00251265">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7857F805"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inherit" w:eastAsia="Times New Roman" w:hAnsi="inherit" w:cs="Times New Roman"/>
                <w:b/>
                <w:bCs/>
                <w:color w:val="666666"/>
                <w:sz w:val="21"/>
                <w:szCs w:val="21"/>
                <w:bdr w:val="none" w:sz="0" w:space="0" w:color="auto" w:frame="1"/>
                <w:lang w:eastAsia="en-IN"/>
              </w:rPr>
              <w:t>Data Ordering</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61D2C67C"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Source Sans Pro" w:eastAsia="Times New Roman" w:hAnsi="Source Sans Pro" w:cs="Times New Roman"/>
                <w:color w:val="666666"/>
                <w:sz w:val="21"/>
                <w:szCs w:val="21"/>
                <w:lang w:eastAsia="en-IN"/>
              </w:rPr>
              <w:t>In partition level</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6E1567D3"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Source Sans Pro" w:eastAsia="Times New Roman" w:hAnsi="Source Sans Pro" w:cs="Times New Roman"/>
                <w:color w:val="666666"/>
                <w:sz w:val="21"/>
                <w:szCs w:val="21"/>
                <w:lang w:eastAsia="en-IN"/>
              </w:rPr>
              <w:t>In shard level</w:t>
            </w:r>
          </w:p>
        </w:tc>
      </w:tr>
      <w:tr w:rsidR="00251265" w:rsidRPr="00251265" w14:paraId="06F5CF80" w14:textId="77777777" w:rsidTr="00251265">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2AB37625"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inherit" w:eastAsia="Times New Roman" w:hAnsi="inherit" w:cs="Times New Roman"/>
                <w:b/>
                <w:bCs/>
                <w:color w:val="666666"/>
                <w:sz w:val="21"/>
                <w:szCs w:val="21"/>
                <w:bdr w:val="none" w:sz="0" w:space="0" w:color="auto" w:frame="1"/>
                <w:lang w:eastAsia="en-IN"/>
              </w:rPr>
              <w:t>Data Retention</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41C821A3"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Source Sans Pro" w:eastAsia="Times New Roman" w:hAnsi="Source Sans Pro" w:cs="Times New Roman"/>
                <w:color w:val="666666"/>
                <w:sz w:val="21"/>
                <w:szCs w:val="21"/>
                <w:lang w:eastAsia="en-IN"/>
              </w:rPr>
              <w:t>No maximum (configurable)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35BF4CE5"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Source Sans Pro" w:eastAsia="Times New Roman" w:hAnsi="Source Sans Pro" w:cs="Times New Roman"/>
                <w:color w:val="666666"/>
                <w:sz w:val="21"/>
                <w:szCs w:val="21"/>
                <w:lang w:eastAsia="en-IN"/>
              </w:rPr>
              <w:t>1 to 7 days (default is 24 hours)</w:t>
            </w:r>
          </w:p>
        </w:tc>
      </w:tr>
      <w:tr w:rsidR="00251265" w:rsidRPr="00251265" w14:paraId="440F14ED" w14:textId="77777777" w:rsidTr="00251265">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1F2620F7"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inherit" w:eastAsia="Times New Roman" w:hAnsi="inherit" w:cs="Times New Roman"/>
                <w:b/>
                <w:bCs/>
                <w:color w:val="666666"/>
                <w:sz w:val="21"/>
                <w:szCs w:val="21"/>
                <w:bdr w:val="none" w:sz="0" w:space="0" w:color="auto" w:frame="1"/>
                <w:lang w:eastAsia="en-IN"/>
              </w:rPr>
              <w:t>Data Size Per Blob</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14CB77CE"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Source Sans Pro" w:eastAsia="Times New Roman" w:hAnsi="Source Sans Pro" w:cs="Times New Roman"/>
                <w:color w:val="666666"/>
                <w:sz w:val="21"/>
                <w:szCs w:val="21"/>
                <w:lang w:eastAsia="en-IN"/>
              </w:rPr>
              <w:t>Default 1MB (but can be configured)</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5CBFC5AB"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Source Sans Pro" w:eastAsia="Times New Roman" w:hAnsi="Source Sans Pro" w:cs="Times New Roman"/>
                <w:color w:val="666666"/>
                <w:sz w:val="21"/>
                <w:szCs w:val="21"/>
                <w:lang w:eastAsia="en-IN"/>
              </w:rPr>
              <w:t>Maximum 1 MB</w:t>
            </w:r>
          </w:p>
        </w:tc>
      </w:tr>
      <w:tr w:rsidR="00251265" w:rsidRPr="00251265" w14:paraId="19551F9D" w14:textId="77777777" w:rsidTr="00251265">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1A29FD8"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inherit" w:eastAsia="Times New Roman" w:hAnsi="inherit" w:cs="Times New Roman"/>
                <w:b/>
                <w:bCs/>
                <w:color w:val="666666"/>
                <w:sz w:val="21"/>
                <w:szCs w:val="21"/>
                <w:bdr w:val="none" w:sz="0" w:space="0" w:color="auto" w:frame="1"/>
                <w:lang w:eastAsia="en-IN"/>
              </w:rPr>
              <w:t>Partition/Shard Modification</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26DAC97B"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Source Sans Pro" w:eastAsia="Times New Roman" w:hAnsi="Source Sans Pro" w:cs="Times New Roman"/>
                <w:color w:val="666666"/>
                <w:sz w:val="21"/>
                <w:szCs w:val="21"/>
                <w:lang w:eastAsia="en-IN"/>
              </w:rPr>
              <w:t>Increase only and does not repartition existing data</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32704D60"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Source Sans Pro" w:eastAsia="Times New Roman" w:hAnsi="Source Sans Pro" w:cs="Times New Roman"/>
                <w:color w:val="666666"/>
                <w:sz w:val="21"/>
                <w:szCs w:val="21"/>
                <w:lang w:eastAsia="en-IN"/>
              </w:rPr>
              <w:t>Re-shard by merging or splitting shards</w:t>
            </w:r>
          </w:p>
        </w:tc>
      </w:tr>
      <w:tr w:rsidR="00251265" w:rsidRPr="00251265" w14:paraId="2E8F5BFD" w14:textId="77777777" w:rsidTr="00251265">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71AA854D"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inherit" w:eastAsia="Times New Roman" w:hAnsi="inherit" w:cs="Times New Roman"/>
                <w:b/>
                <w:bCs/>
                <w:color w:val="666666"/>
                <w:sz w:val="21"/>
                <w:szCs w:val="21"/>
                <w:bdr w:val="none" w:sz="0" w:space="0" w:color="auto" w:frame="1"/>
                <w:lang w:eastAsia="en-IN"/>
              </w:rPr>
              <w:t>Partition/Shard Limitation</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35C8CED0"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Source Sans Pro" w:eastAsia="Times New Roman" w:hAnsi="Source Sans Pro" w:cs="Times New Roman"/>
                <w:color w:val="666666"/>
                <w:sz w:val="21"/>
                <w:szCs w:val="21"/>
                <w:lang w:eastAsia="en-IN"/>
              </w:rPr>
              <w:t>No limit. Optimal partitions depend on the use case</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73B2D481"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Source Sans Pro" w:eastAsia="Times New Roman" w:hAnsi="Source Sans Pro" w:cs="Times New Roman"/>
                <w:color w:val="666666"/>
                <w:sz w:val="21"/>
                <w:szCs w:val="21"/>
                <w:lang w:eastAsia="en-IN"/>
              </w:rPr>
              <w:t>500 shards in US East (N. Virginia), US West (Oregon), and EU (Ireland) regions. 200 shards in all other regions.</w:t>
            </w:r>
          </w:p>
        </w:tc>
      </w:tr>
      <w:tr w:rsidR="00251265" w:rsidRPr="00251265" w14:paraId="1BEB4C60" w14:textId="77777777" w:rsidTr="00251265">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4CC8CDF4"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inherit" w:eastAsia="Times New Roman" w:hAnsi="inherit" w:cs="Times New Roman"/>
                <w:b/>
                <w:bCs/>
                <w:color w:val="666666"/>
                <w:sz w:val="21"/>
                <w:szCs w:val="21"/>
                <w:bdr w:val="none" w:sz="0" w:space="0" w:color="auto" w:frame="1"/>
                <w:lang w:eastAsia="en-IN"/>
              </w:rPr>
              <w:t>Data Replication/DR</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4E91E9B3"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Source Sans Pro" w:eastAsia="Times New Roman" w:hAnsi="Source Sans Pro" w:cs="Times New Roman"/>
                <w:color w:val="666666"/>
                <w:sz w:val="21"/>
                <w:szCs w:val="21"/>
                <w:lang w:eastAsia="en-IN"/>
              </w:rPr>
              <w:t>Cluster mirroring</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4EBF4C9F"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Source Sans Pro" w:eastAsia="Times New Roman" w:hAnsi="Source Sans Pro" w:cs="Times New Roman"/>
                <w:color w:val="666666"/>
                <w:sz w:val="21"/>
                <w:szCs w:val="21"/>
                <w:lang w:eastAsia="en-IN"/>
              </w:rPr>
              <w:t>Automatically across 3 Availability Zones</w:t>
            </w:r>
          </w:p>
        </w:tc>
      </w:tr>
      <w:tr w:rsidR="00251265" w:rsidRPr="00251265" w14:paraId="7B877C13" w14:textId="77777777" w:rsidTr="00251265">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2CDDC5D5"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inherit" w:eastAsia="Times New Roman" w:hAnsi="inherit" w:cs="Times New Roman"/>
                <w:b/>
                <w:bCs/>
                <w:color w:val="666666"/>
                <w:sz w:val="21"/>
                <w:szCs w:val="21"/>
                <w:bdr w:val="none" w:sz="0" w:space="0" w:color="auto" w:frame="1"/>
                <w:lang w:eastAsia="en-IN"/>
              </w:rPr>
              <w:t>Message Delivery Semantics</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52FB56BE"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Source Sans Pro" w:eastAsia="Times New Roman" w:hAnsi="Source Sans Pro" w:cs="Times New Roman"/>
                <w:color w:val="666666"/>
                <w:sz w:val="21"/>
                <w:szCs w:val="21"/>
                <w:lang w:eastAsia="en-IN"/>
              </w:rPr>
              <w:t>Kafka guarantees at-least-once delivery by default. Kafka supports exactly-once delivery in Kafka Streams</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F3B931D"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Source Sans Pro" w:eastAsia="Times New Roman" w:hAnsi="Source Sans Pro" w:cs="Times New Roman"/>
                <w:color w:val="666666"/>
                <w:sz w:val="21"/>
                <w:szCs w:val="21"/>
                <w:lang w:eastAsia="en-IN"/>
              </w:rPr>
              <w:t>Kinesis Data Streams has at least once semantics</w:t>
            </w:r>
          </w:p>
        </w:tc>
      </w:tr>
      <w:tr w:rsidR="00251265" w:rsidRPr="00251265" w14:paraId="335B9EB0" w14:textId="77777777" w:rsidTr="00251265">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7AFDC1E"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inherit" w:eastAsia="Times New Roman" w:hAnsi="inherit" w:cs="Times New Roman"/>
                <w:b/>
                <w:bCs/>
                <w:color w:val="666666"/>
                <w:sz w:val="21"/>
                <w:szCs w:val="21"/>
                <w:bdr w:val="none" w:sz="0" w:space="0" w:color="auto" w:frame="1"/>
                <w:lang w:eastAsia="en-IN"/>
              </w:rPr>
              <w:t>Security</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509C1E13"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Source Sans Pro" w:eastAsia="Times New Roman" w:hAnsi="Source Sans Pro" w:cs="Times New Roman"/>
                <w:color w:val="666666"/>
                <w:sz w:val="21"/>
                <w:szCs w:val="21"/>
                <w:lang w:eastAsia="en-IN"/>
              </w:rPr>
              <w:t>Either SSL or SASL and authentication of connections to Kafka Brokers from clients; authentication of connections from brokers to </w:t>
            </w:r>
            <w:proofErr w:type="spellStart"/>
            <w:r w:rsidRPr="00251265">
              <w:rPr>
                <w:rFonts w:ascii="Source Sans Pro" w:eastAsia="Times New Roman" w:hAnsi="Source Sans Pro" w:cs="Times New Roman"/>
                <w:color w:val="666666"/>
                <w:sz w:val="21"/>
                <w:szCs w:val="21"/>
                <w:lang w:eastAsia="en-IN"/>
              </w:rPr>
              <w:t>ZooKeeper</w:t>
            </w:r>
            <w:proofErr w:type="spellEnd"/>
            <w:r w:rsidRPr="00251265">
              <w:rPr>
                <w:rFonts w:ascii="Source Sans Pro" w:eastAsia="Times New Roman" w:hAnsi="Source Sans Pro" w:cs="Times New Roman"/>
                <w:color w:val="666666"/>
                <w:sz w:val="21"/>
                <w:szCs w:val="21"/>
                <w:lang w:eastAsia="en-IN"/>
              </w:rPr>
              <w:t>; data encryption with SSL/TLS</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03A9B11"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Source Sans Pro" w:eastAsia="Times New Roman" w:hAnsi="Source Sans Pro" w:cs="Times New Roman"/>
                <w:color w:val="666666"/>
                <w:sz w:val="21"/>
                <w:szCs w:val="21"/>
                <w:lang w:eastAsia="en-IN"/>
              </w:rPr>
              <w:t>Data can be secured at-rest by using server-side encryption and AWS KMS master keys on sensitive data within KDS. Access data privately via your Amazon Virtual Private Cloud (VPC)</w:t>
            </w:r>
          </w:p>
        </w:tc>
      </w:tr>
      <w:tr w:rsidR="00251265" w:rsidRPr="00251265" w14:paraId="3F4CFF01" w14:textId="77777777" w:rsidTr="00251265">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5CE392AA"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inherit" w:eastAsia="Times New Roman" w:hAnsi="inherit" w:cs="Times New Roman"/>
                <w:b/>
                <w:bCs/>
                <w:color w:val="666666"/>
                <w:sz w:val="21"/>
                <w:szCs w:val="21"/>
                <w:bdr w:val="none" w:sz="0" w:space="0" w:color="auto" w:frame="1"/>
                <w:lang w:eastAsia="en-IN"/>
              </w:rPr>
              <w:t>Monitoring</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217E5D99"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Source Sans Pro" w:eastAsia="Times New Roman" w:hAnsi="Source Sans Pro" w:cs="Times New Roman"/>
                <w:color w:val="666666"/>
                <w:sz w:val="21"/>
                <w:szCs w:val="21"/>
                <w:lang w:eastAsia="en-IN"/>
              </w:rPr>
              <w:t>Yammer Metrics for metrics reporting in the server</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7D98842"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Source Sans Pro" w:eastAsia="Times New Roman" w:hAnsi="Source Sans Pro" w:cs="Times New Roman"/>
                <w:color w:val="666666"/>
                <w:sz w:val="21"/>
                <w:szCs w:val="21"/>
                <w:lang w:eastAsia="en-IN"/>
              </w:rPr>
              <w:t>AWS CloudWatch and CloudTrail</w:t>
            </w:r>
          </w:p>
        </w:tc>
      </w:tr>
      <w:tr w:rsidR="00251265" w:rsidRPr="00251265" w14:paraId="29B37C30" w14:textId="77777777" w:rsidTr="00251265">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07DF9798"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inherit" w:eastAsia="Times New Roman" w:hAnsi="inherit" w:cs="Times New Roman"/>
                <w:b/>
                <w:bCs/>
                <w:color w:val="666666"/>
                <w:sz w:val="21"/>
                <w:szCs w:val="21"/>
                <w:bdr w:val="none" w:sz="0" w:space="0" w:color="auto" w:frame="1"/>
                <w:lang w:eastAsia="en-IN"/>
              </w:rPr>
              <w:t>Dependency</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27C7479C"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proofErr w:type="spellStart"/>
            <w:r w:rsidRPr="00251265">
              <w:rPr>
                <w:rFonts w:ascii="Source Sans Pro" w:eastAsia="Times New Roman" w:hAnsi="Source Sans Pro" w:cs="Times New Roman"/>
                <w:color w:val="666666"/>
                <w:sz w:val="21"/>
                <w:szCs w:val="21"/>
                <w:lang w:eastAsia="en-IN"/>
              </w:rPr>
              <w:t>ZooKeeper</w:t>
            </w:r>
            <w:proofErr w:type="spellEnd"/>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2312F7A7"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Source Sans Pro" w:eastAsia="Times New Roman" w:hAnsi="Source Sans Pro" w:cs="Times New Roman"/>
                <w:color w:val="666666"/>
                <w:sz w:val="21"/>
                <w:szCs w:val="21"/>
                <w:lang w:eastAsia="en-IN"/>
              </w:rPr>
              <w:t>DynamoDB</w:t>
            </w:r>
          </w:p>
        </w:tc>
      </w:tr>
      <w:tr w:rsidR="00251265" w:rsidRPr="00251265" w14:paraId="7E27E996" w14:textId="77777777" w:rsidTr="00251265">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65B011F4"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inherit" w:eastAsia="Times New Roman" w:hAnsi="inherit" w:cs="Times New Roman"/>
                <w:b/>
                <w:bCs/>
                <w:color w:val="666666"/>
                <w:sz w:val="21"/>
                <w:szCs w:val="21"/>
                <w:bdr w:val="none" w:sz="0" w:space="0" w:color="auto" w:frame="1"/>
                <w:lang w:eastAsia="en-IN"/>
              </w:rPr>
              <w:t>Cost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2EADB9A6"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r w:rsidRPr="00251265">
              <w:rPr>
                <w:rFonts w:ascii="Source Sans Pro" w:eastAsia="Times New Roman" w:hAnsi="Source Sans Pro" w:cs="Times New Roman"/>
                <w:color w:val="666666"/>
                <w:sz w:val="21"/>
                <w:szCs w:val="21"/>
                <w:lang w:eastAsia="en-IN"/>
              </w:rPr>
              <w:t>Requires a lot of human support on installation, set up, configuration and clusters management. Setup in weeks</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59B7E062" w14:textId="77777777" w:rsidR="00251265" w:rsidRPr="00251265" w:rsidRDefault="00251265" w:rsidP="00251265">
            <w:pPr>
              <w:spacing w:after="0" w:line="240" w:lineRule="auto"/>
              <w:jc w:val="center"/>
              <w:rPr>
                <w:rFonts w:ascii="Source Sans Pro" w:eastAsia="Times New Roman" w:hAnsi="Source Sans Pro" w:cs="Times New Roman"/>
                <w:color w:val="666666"/>
                <w:sz w:val="21"/>
                <w:szCs w:val="21"/>
                <w:lang w:eastAsia="en-IN"/>
              </w:rPr>
            </w:pPr>
            <w:hyperlink r:id="rId4" w:history="1">
              <w:r w:rsidRPr="00251265">
                <w:rPr>
                  <w:rFonts w:ascii="Source Sans Pro" w:eastAsia="Times New Roman" w:hAnsi="Source Sans Pro" w:cs="Times New Roman"/>
                  <w:color w:val="3B8DBD"/>
                  <w:sz w:val="21"/>
                  <w:szCs w:val="21"/>
                  <w:u w:val="single"/>
                  <w:bdr w:val="none" w:sz="0" w:space="0" w:color="auto" w:frame="1"/>
                  <w:lang w:eastAsia="en-IN"/>
                </w:rPr>
                <w:t>Pay</w:t>
              </w:r>
            </w:hyperlink>
            <w:r w:rsidRPr="00251265">
              <w:rPr>
                <w:rFonts w:ascii="Source Sans Pro" w:eastAsia="Times New Roman" w:hAnsi="Source Sans Pro" w:cs="Times New Roman"/>
                <w:color w:val="666666"/>
                <w:sz w:val="21"/>
                <w:szCs w:val="21"/>
                <w:lang w:eastAsia="en-IN"/>
              </w:rPr>
              <w:t xml:space="preserve"> and use. Setup in a couple </w:t>
            </w:r>
            <w:proofErr w:type="gramStart"/>
            <w:r w:rsidRPr="00251265">
              <w:rPr>
                <w:rFonts w:ascii="Source Sans Pro" w:eastAsia="Times New Roman" w:hAnsi="Source Sans Pro" w:cs="Times New Roman"/>
                <w:color w:val="666666"/>
                <w:sz w:val="21"/>
                <w:szCs w:val="21"/>
                <w:lang w:eastAsia="en-IN"/>
              </w:rPr>
              <w:t>Of</w:t>
            </w:r>
            <w:proofErr w:type="gramEnd"/>
            <w:r w:rsidRPr="00251265">
              <w:rPr>
                <w:rFonts w:ascii="Source Sans Pro" w:eastAsia="Times New Roman" w:hAnsi="Source Sans Pro" w:cs="Times New Roman"/>
                <w:color w:val="666666"/>
                <w:sz w:val="21"/>
                <w:szCs w:val="21"/>
                <w:lang w:eastAsia="en-IN"/>
              </w:rPr>
              <w:t xml:space="preserve"> hours</w:t>
            </w:r>
          </w:p>
        </w:tc>
      </w:tr>
    </w:tbl>
    <w:p w14:paraId="3935EC6E" w14:textId="77777777" w:rsidR="00251265" w:rsidRDefault="00251265" w:rsidP="00251265">
      <w:pPr>
        <w:shd w:val="clear" w:color="auto" w:fill="FFFFFF"/>
        <w:spacing w:after="210" w:line="312" w:lineRule="atLeast"/>
        <w:textAlignment w:val="baseline"/>
        <w:outlineLvl w:val="1"/>
        <w:rPr>
          <w:rFonts w:ascii="Source Sans Pro" w:eastAsia="Times New Roman" w:hAnsi="Source Sans Pro" w:cs="Times New Roman"/>
          <w:color w:val="444444"/>
          <w:spacing w:val="-11"/>
          <w:sz w:val="51"/>
          <w:szCs w:val="51"/>
          <w:lang w:eastAsia="en-IN"/>
        </w:rPr>
      </w:pPr>
    </w:p>
    <w:p w14:paraId="1D9C3BCD" w14:textId="77777777" w:rsidR="00251265" w:rsidRDefault="00251265">
      <w:pPr>
        <w:rPr>
          <w:rFonts w:ascii="Source Sans Pro" w:eastAsia="Times New Roman" w:hAnsi="Source Sans Pro" w:cs="Times New Roman"/>
          <w:color w:val="444444"/>
          <w:spacing w:val="-11"/>
          <w:sz w:val="51"/>
          <w:szCs w:val="51"/>
          <w:lang w:eastAsia="en-IN"/>
        </w:rPr>
      </w:pPr>
      <w:r>
        <w:rPr>
          <w:rFonts w:ascii="Source Sans Pro" w:eastAsia="Times New Roman" w:hAnsi="Source Sans Pro" w:cs="Times New Roman"/>
          <w:color w:val="444444"/>
          <w:spacing w:val="-11"/>
          <w:sz w:val="51"/>
          <w:szCs w:val="51"/>
          <w:lang w:eastAsia="en-IN"/>
        </w:rPr>
        <w:br w:type="page"/>
      </w:r>
    </w:p>
    <w:p w14:paraId="5C392576" w14:textId="64BC0F1A" w:rsidR="00251265" w:rsidRPr="00251265" w:rsidRDefault="00251265" w:rsidP="00251265">
      <w:pPr>
        <w:shd w:val="clear" w:color="auto" w:fill="FFFFFF"/>
        <w:spacing w:after="210" w:line="312" w:lineRule="atLeast"/>
        <w:textAlignment w:val="baseline"/>
        <w:outlineLvl w:val="1"/>
        <w:rPr>
          <w:rFonts w:ascii="Source Sans Pro" w:eastAsia="Times New Roman" w:hAnsi="Source Sans Pro" w:cs="Times New Roman"/>
          <w:color w:val="444444"/>
          <w:spacing w:val="-11"/>
          <w:sz w:val="51"/>
          <w:szCs w:val="51"/>
          <w:lang w:eastAsia="en-IN"/>
        </w:rPr>
      </w:pPr>
      <w:bookmarkStart w:id="0" w:name="_GoBack"/>
      <w:bookmarkEnd w:id="0"/>
      <w:r w:rsidRPr="00251265">
        <w:rPr>
          <w:rFonts w:ascii="Source Sans Pro" w:eastAsia="Times New Roman" w:hAnsi="Source Sans Pro" w:cs="Times New Roman"/>
          <w:color w:val="444444"/>
          <w:spacing w:val="-11"/>
          <w:sz w:val="51"/>
          <w:szCs w:val="51"/>
          <w:lang w:eastAsia="en-IN"/>
        </w:rPr>
        <w:lastRenderedPageBreak/>
        <w:t>Conclusion</w:t>
      </w:r>
    </w:p>
    <w:p w14:paraId="175F1761" w14:textId="77777777" w:rsidR="00251265" w:rsidRPr="00251265" w:rsidRDefault="00251265" w:rsidP="00251265">
      <w:pPr>
        <w:shd w:val="clear" w:color="auto" w:fill="FFFFFF"/>
        <w:spacing w:after="0" w:line="240" w:lineRule="auto"/>
        <w:textAlignment w:val="baseline"/>
        <w:rPr>
          <w:rFonts w:ascii="Source Sans Pro" w:eastAsia="Times New Roman" w:hAnsi="Source Sans Pro" w:cs="Times New Roman"/>
          <w:color w:val="666666"/>
          <w:sz w:val="27"/>
          <w:szCs w:val="27"/>
          <w:lang w:eastAsia="en-IN"/>
        </w:rPr>
      </w:pPr>
      <w:r w:rsidRPr="00251265">
        <w:rPr>
          <w:rFonts w:ascii="Source Sans Pro" w:eastAsia="Times New Roman" w:hAnsi="Source Sans Pro" w:cs="Times New Roman"/>
          <w:color w:val="666666"/>
          <w:sz w:val="27"/>
          <w:szCs w:val="27"/>
          <w:lang w:eastAsia="en-IN"/>
        </w:rPr>
        <w:t>Both Apache Kafka and AWS Kinesis Data Streams are good choices for real-time data streaming platforms. If you need to keep messages for more than 7 days with no limitation on message size per blob, Apache Kafka should be your choice. However, Apache Kafka requires extra effort to set up, manage, and support.  If your organization lacks Apache Kafka experts and/or human support, then choosing a fully-managed AWS Kinesis service will let you focus on the development. AWS Kinesis is catching up in terms of overall performance regarding throughput and events processing. When moving from Apache Kafka to AWS cloud service, you can set up Apache Kafka on AWS EC2. To avoid any challenge — such as setup and scale — and to manage clusters in production, AWS offers </w:t>
      </w:r>
      <w:hyperlink r:id="rId5" w:history="1">
        <w:r w:rsidRPr="00251265">
          <w:rPr>
            <w:rFonts w:ascii="Source Sans Pro" w:eastAsia="Times New Roman" w:hAnsi="Source Sans Pro" w:cs="Times New Roman"/>
            <w:color w:val="3B8DBD"/>
            <w:sz w:val="27"/>
            <w:szCs w:val="27"/>
            <w:u w:val="single"/>
            <w:bdr w:val="none" w:sz="0" w:space="0" w:color="auto" w:frame="1"/>
            <w:lang w:eastAsia="en-IN"/>
          </w:rPr>
          <w:t>Managed Streaming for Kafka (MSK)</w:t>
        </w:r>
      </w:hyperlink>
      <w:r w:rsidRPr="00251265">
        <w:rPr>
          <w:rFonts w:ascii="Source Sans Pro" w:eastAsia="Times New Roman" w:hAnsi="Source Sans Pro" w:cs="Times New Roman"/>
          <w:color w:val="666666"/>
          <w:sz w:val="27"/>
          <w:szCs w:val="27"/>
          <w:lang w:eastAsia="en-IN"/>
        </w:rPr>
        <w:t> with settings and configuration based on Apache Kafka’s best deployment practices. MSK is public preview now and will GA in the first quarter of this year.</w:t>
      </w:r>
    </w:p>
    <w:p w14:paraId="16568340" w14:textId="77777777" w:rsidR="00284835" w:rsidRPr="00251265" w:rsidRDefault="00251265" w:rsidP="00251265"/>
    <w:sectPr w:rsidR="00284835" w:rsidRPr="00251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265"/>
    <w:rsid w:val="00251265"/>
    <w:rsid w:val="00284D96"/>
    <w:rsid w:val="00CC1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88829"/>
  <w15:chartTrackingRefBased/>
  <w15:docId w15:val="{9E5EB01B-BD32-40AD-BCE9-B3E332BD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12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126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51265"/>
    <w:rPr>
      <w:b/>
      <w:bCs/>
    </w:rPr>
  </w:style>
  <w:style w:type="character" w:styleId="Hyperlink">
    <w:name w:val="Hyperlink"/>
    <w:basedOn w:val="DefaultParagraphFont"/>
    <w:uiPriority w:val="99"/>
    <w:semiHidden/>
    <w:unhideWhenUsed/>
    <w:rsid w:val="00251265"/>
    <w:rPr>
      <w:color w:val="0000FF"/>
      <w:u w:val="single"/>
    </w:rPr>
  </w:style>
  <w:style w:type="paragraph" w:styleId="NormalWeb">
    <w:name w:val="Normal (Web)"/>
    <w:basedOn w:val="Normal"/>
    <w:uiPriority w:val="99"/>
    <w:semiHidden/>
    <w:unhideWhenUsed/>
    <w:rsid w:val="0025126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93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ws.amazon.com/msk/" TargetMode="External"/><Relationship Id="rId4" Type="http://schemas.openxmlformats.org/officeDocument/2006/relationships/hyperlink" Target="https://aws.amazon.com/kinesis/data-streams/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Sahani</dc:creator>
  <cp:keywords/>
  <dc:description/>
  <cp:lastModifiedBy>Arun Kumar Sahani</cp:lastModifiedBy>
  <cp:revision>1</cp:revision>
  <dcterms:created xsi:type="dcterms:W3CDTF">2020-09-05T14:54:00Z</dcterms:created>
  <dcterms:modified xsi:type="dcterms:W3CDTF">2020-09-05T14:55:00Z</dcterms:modified>
</cp:coreProperties>
</file>