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Responsible AI Impact Assessment</w:t>
      </w:r>
    </w:p>
    <w:p>
      <w:pPr>
        <w:spacing w:after="300"/>
      </w:pPr>
      <w:r>
        <w:rPr>
          <w:rFonts w:ascii="Calibri" w:cs="Calibri" w:eastAsia="Calibri" w:hAnsi="Calibri"/>
          <w:i/>
          <w:iCs/>
          <w:color w:val="44546A"/>
          <w:sz w:val="23"/>
          <w:szCs w:val="23"/>
        </w:rPr>
        <w:t xml:space="preserve">Credit Decisioning Assistant (CDA) — Artefact A-07, v1.0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Field</w:t>
            </w:r>
          </w:p>
        </w:tc>
        <w:tc>
          <w:tcPr>
            <w:tcW w:type="dxa" w:w="7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Detail</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Artefact ID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A-07</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Title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Responsible AI Impact Assessment — Credit Decisioning Assistant</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System governed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Credit Decisioning Assistant (CDA) — retrieval-grounded foundation-model assistant supporting retail credit decisions</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Document owner</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Approving authority</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Classification</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Internal — AI governance framework</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Regulatory basis</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EU AI Act Art.9 and Art.27 (fundamental rights impact assessment for deployers of high-risk systems); MAS FEAT; Singapore Model AI Governance Framework; NIST AI RMF MAP</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 cycle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Annual, or on any event trigger defined in Post_Deployment_Monitoring_and_Review_Policy §5</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Nature of this document</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Governance design artefact produced as part of a worked example. Figures, dates and named decisions are illustrative of how the control operates, not a record of a production deployment</w:t>
            </w:r>
          </w:p>
        </w:tc>
      </w:tr>
    </w:tbl>
    <w:p>
      <w:pPr>
        <w:spacing w:after="120" w:before="300"/>
      </w:pPr>
      <w:r>
        <w:rPr>
          <w:rFonts w:ascii="Calibri" w:cs="Calibri" w:eastAsia="Calibri" w:hAnsi="Calibri"/>
          <w:b/>
          <w:bCs/>
          <w:color w:val="1F3864"/>
          <w:sz w:val="24"/>
          <w:szCs w:val="24"/>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Version</w:t>
            </w:r>
          </w:p>
        </w:tc>
        <w:tc>
          <w:tcPr>
            <w:tcW w:type="dxa" w:w="1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Date</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Author</w:t>
            </w:r>
          </w:p>
        </w:tc>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Reviewer</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Approver</w:t>
            </w:r>
          </w:p>
        </w:tc>
        <w:tc>
          <w:tcPr>
            <w:tcW w:type="dxa" w:w="1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Status</w:t>
            </w:r>
          </w:p>
        </w:tc>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Change summary</w:t>
            </w:r>
          </w:p>
        </w:tc>
      </w:tr>
      <w:tr>
        <w:tc>
          <w:tcPr>
            <w:tcW w:type="dxa" w:w="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v1.0</w:t>
            </w:r>
          </w:p>
        </w:tc>
        <w:tc>
          <w:tcPr>
            <w:tcW w:type="dxa" w:w="1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2026-09-10</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Compliance; Legal; DPO</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Pending</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Draft</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First completed impact assessment. Replaces the blank third-party template previously held as A-07</w:t>
            </w:r>
          </w:p>
        </w:tc>
      </w:tr>
    </w:tbl>
    <w:p>
      <w:r>
        <w:br w:type="page"/>
      </w:r>
    </w:p>
    <w:p>
      <w:pPr>
        <w:pBdr>
          <w:left w:val="single" w:color="BF8F00" w:sz="18" w:space="8"/>
        </w:pBdr>
        <w:shd w:fill="FFF2CC" w:val="clear"/>
        <w:spacing w:after="200" w:before="80"/>
        <w:ind w:left="200"/>
      </w:pPr>
      <w:r>
        <w:rPr>
          <w:rFonts w:ascii="Calibri" w:cs="Calibri" w:eastAsia="Calibri" w:hAnsi="Calibri"/>
          <w:i/>
          <w:iCs/>
          <w:color w:val="7F6000"/>
          <w:sz w:val="20"/>
          <w:szCs w:val="20"/>
        </w:rPr>
        <w:t xml:space="preserve">⚠  Provenance, stated openly. Artefact A-07 previously held a vendor-published Responsible AI impact assessment template, retained as reference reading. A blank template in a governance repository evidences that something was read, not that an assessment was done. This document applies that template's structure — attributed in §9 — to this organisation's actual system. The structure is the vendor's; the assessment, the findings and the judgements are this organisation's.</w:t>
      </w:r>
    </w:p>
    <w:p>
      <w:pPr>
        <w:pStyle w:val="Heading1"/>
        <w:spacing w:after="160" w:before="320"/>
      </w:pPr>
      <w:r>
        <w:rPr>
          <w:b/>
          <w:bCs/>
          <w:color w:val="1F3864"/>
          <w:sz w:val="30"/>
          <w:szCs w:val="30"/>
        </w:rPr>
        <w:t xml:space="preserve">1. Scope of this assessment</w:t>
      </w:r>
    </w:p>
    <w:p>
      <w:pPr>
        <w:spacing w:after="160" w:line="276"/>
      </w:pPr>
      <w:r>
        <w:rPr>
          <w:rFonts w:ascii="Calibri" w:cs="Calibri" w:eastAsia="Calibri" w:hAnsi="Calibri"/>
          <w:b w:val="false"/>
          <w:bCs w:val="false"/>
          <w:i w:val="false"/>
          <w:iCs w:val="false"/>
          <w:sz w:val="21"/>
          <w:szCs w:val="21"/>
        </w:rPr>
        <w:t>Assesses the impact of the Credit Decisioning Assistant on the people and groups it affects, distinct from the technical risk assessment in AI_Risk_Register (A-09) and the data protection assessment in PANOPTIC_Privacy_Assessment_and_DPIA (A-35).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7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This assessment asks</w:t>
            </w:r>
          </w:p>
        </w:tc>
        <w:tc>
          <w:tcPr>
            <w:tcW w:type="dxa" w:w="4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Where the other assessments sit</w:t>
            </w:r>
          </w:p>
        </w:tc>
      </w:tr>
      <w:tr>
        <w:tc>
          <w:tcPr>
            <w:tcW w:type="dxa" w:w="4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Who is affected, how, and how severely</w:t>
            </w:r>
          </w:p>
        </w:tc>
        <w:tc>
          <w:tcPr>
            <w:tcW w:type="dxa" w:w="4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AI_Risk_Register (A-09) asks what can go wrong technically</w:t>
            </w:r>
          </w:p>
        </w:tc>
      </w:tr>
      <w:tr>
        <w:tc>
          <w:tcPr>
            <w:tcW w:type="dxa" w:w="4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What the system takes away from a person, not only what it risks</w:t>
            </w:r>
          </w:p>
        </w:tc>
        <w:tc>
          <w:tcPr>
            <w:tcW w:type="dxa" w:w="4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PANOPTIC_Privacy_Assessment_and_DPIA (A-35) asks about personal data specifically</w:t>
            </w:r>
          </w:p>
        </w:tc>
      </w:tr>
      <w:tr>
        <w:tc>
          <w:tcPr>
            <w:tcW w:type="dxa" w:w="4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the benefit is fairly distributed against the harm</w:t>
            </w:r>
          </w:p>
        </w:tc>
        <w:tc>
          <w:tcPr>
            <w:tcW w:type="dxa" w:w="4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AI_FMEA (A-10) asks how a failure would be detected</w:t>
            </w:r>
          </w:p>
        </w:tc>
      </w:tr>
      <w:tr>
        <w:tc>
          <w:tcPr>
            <w:tcW w:type="dxa" w:w="4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Whether we would defend this to the person it affects</w:t>
            </w:r>
          </w:p>
        </w:tc>
        <w:tc>
          <w:tcPr>
            <w:tcW w:type="dxa" w:w="4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Stakeholder_Impact_Matrix (A-05) maps the parties; this assesses the impact</w:t>
            </w:r>
          </w:p>
        </w:tc>
      </w:tr>
    </w:tbl>
    <w:p>
      <w:pPr>
        <w:spacing w:after="160" w:line="276"/>
      </w:pPr>
      <w:r>
        <w:rPr>
          <w:rFonts w:ascii="Calibri" w:cs="Calibri" w:eastAsia="Calibri" w:hAnsi="Calibri"/>
          <w:b w:val="false"/>
          <w:bCs w:val="false"/>
          <w:i/>
          <w:iCs/>
          <w:sz w:val="21"/>
          <w:szCs w:val="21"/>
        </w:rPr>
        <w:t xml:space="preserve">Under EU AI Act Article 27 certain deployers of Annex III high-risk systems must perform a fundamental rights impact assessment. Whether this organisation falls within the specific deployer categories named in that article is a live legal question. The assessment has been performed regardless, on the basis that a bank deploying a high-risk credit system which cannot show it considered fundamental rights impact is in a poor position whichever way the categorisation resolves.</w:t>
      </w:r>
    </w:p>
    <w:p>
      <w:pPr>
        <w:pStyle w:val="Heading1"/>
        <w:spacing w:after="160" w:before="320"/>
      </w:pPr>
      <w:r>
        <w:rPr>
          <w:b/>
          <w:bCs/>
          <w:color w:val="1F3864"/>
          <w:sz w:val="30"/>
          <w:szCs w:val="30"/>
        </w:rPr>
        <w:t xml:space="preserve">2. System and intended benefit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Field</w:t>
            </w:r>
          </w:p>
        </w:tc>
        <w:tc>
          <w:tcPr>
            <w:tcW w:type="dxa" w:w="7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Detail</w:t>
            </w:r>
          </w:p>
        </w:tc>
      </w:tr>
      <w:tr>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System</w:t>
            </w:r>
          </w:p>
        </w:tc>
        <w:tc>
          <w:tcPr>
            <w:tcW w:type="dxa" w:w="7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Credit Decisioning Assistant — drafts a credit decision rationale grounded in lending policy, for loan officer review</w:t>
            </w:r>
          </w:p>
        </w:tc>
      </w:tr>
      <w:tr>
        <w:tc>
          <w:tcPr>
            <w:tcW w:type="dxa" w:w="2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Stated benefit</w:t>
            </w:r>
          </w:p>
        </w:tc>
        <w:tc>
          <w:tcPr>
            <w:tcW w:type="dxa" w:w="7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Faster, more consistent decision rationales; fewer adverse action notices that fail to state a defensible reason</w:t>
            </w:r>
          </w:p>
        </w:tc>
      </w:tr>
      <w:tr>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Who benefits</w:t>
            </w:r>
          </w:p>
        </w:tc>
        <w:tc>
          <w:tcPr>
            <w:tcW w:type="dxa" w:w="7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The bank (efficiency, consistency); loan officers (workload); applicants (better-reasoned decisions, clearer explanations)</w:t>
            </w:r>
          </w:p>
        </w:tc>
      </w:tr>
      <w:tr>
        <w:tc>
          <w:tcPr>
            <w:tcW w:type="dxa" w:w="2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Who bears the risk</w:t>
            </w:r>
          </w:p>
        </w:tc>
        <w:tc>
          <w:tcPr>
            <w:tcW w:type="dxa" w:w="7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Almost entirely applicants, and disproportionately declined applicants</w:t>
            </w:r>
          </w:p>
        </w:tc>
      </w:tr>
      <w:tr>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Deployment scope</w:t>
            </w:r>
          </w:p>
        </w:tc>
        <w:tc>
          <w:tcPr>
            <w:tcW w:type="dxa" w:w="7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Pilot, 500 applications</w:t>
            </w:r>
          </w:p>
        </w:tc>
      </w:tr>
    </w:tbl>
    <w:p>
      <w:pPr>
        <w:pBdr>
          <w:left w:val="single" w:color="1F3864" w:sz="18" w:space="8"/>
        </w:pBdr>
        <w:spacing w:after="200" w:before="120"/>
        <w:ind w:left="200"/>
      </w:pPr>
      <w:r>
        <w:rPr>
          <w:rFonts w:ascii="Calibri" w:cs="Calibri" w:eastAsia="Calibri" w:hAnsi="Calibri"/>
          <w:i/>
          <w:iCs/>
          <w:color w:val="1F3864"/>
          <w:sz w:val="22"/>
          <w:szCs w:val="22"/>
        </w:rPr>
        <w:t xml:space="preserve">The benefit and the risk do not fall on the same people. The bank captures most of the efficiency; applicants bear most of the exposure. That asymmetry does not make the system illegitimate — it makes the controls protecting applicants non-negotiable rather than proportionate to the bank's own risk appetite.</w:t>
      </w:r>
    </w:p>
    <w:p>
      <w:pPr>
        <w:pStyle w:val="Heading1"/>
        <w:spacing w:after="160" w:before="320"/>
      </w:pPr>
      <w:r>
        <w:rPr>
          <w:b/>
          <w:bCs/>
          <w:color w:val="1F3864"/>
          <w:sz w:val="30"/>
          <w:szCs w:val="30"/>
        </w:rPr>
        <w:t xml:space="preserve">3. Fundamental rights and interests engaged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Right or interest</w:t>
            </w:r>
          </w:p>
        </w:tc>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How engaged</w:t>
            </w:r>
          </w:p>
        </w:tc>
        <w:tc>
          <w:tcPr>
            <w:tcW w:type="dxa" w:w="2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Severity if it fails</w:t>
            </w:r>
          </w:p>
        </w:tc>
        <w:tc>
          <w:tcPr>
            <w:tcW w:type="dxa" w:w="26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Control</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Non-discrimination</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 proxy attribute could produce systematically different outcomes for people with identical financial circumstances</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Severe — and largely undetectable by the individual</w:t>
            </w:r>
          </w:p>
        </w:tc>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Pre-declared thresholds; counterfactual testing; quarterly re-test (A-15)</w:t>
            </w:r>
          </w:p>
        </w:tc>
      </w:tr>
      <w:tr>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Right to an explanation</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 adverse action reason that is plausible but not the actual basis for the decision</w:t>
            </w:r>
          </w:p>
        </w:tc>
        <w:tc>
          <w:tcPr>
            <w:tcW w:type="dxa" w:w="2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Severe — the person cannot contest what they were not truly told</w:t>
            </w:r>
          </w:p>
        </w:tc>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Mandatory citation; grounding verification; the rationale shown, recorded and communicated are the same statement</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Right to human intervention</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Human review that has become a formality is not intervention</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Severe — Art.22 safeguard defeated in substance</w:t>
            </w:r>
          </w:p>
        </w:tc>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Two-sided override band; below-band escalates as a control failure (A-36)</w:t>
            </w:r>
          </w:p>
        </w:tc>
      </w:tr>
      <w:tr>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Right to contest</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 route to challenge a decision, or a route that is not genuinely independent</w:t>
            </w:r>
          </w:p>
        </w:tc>
        <w:tc>
          <w:tcPr>
            <w:tcW w:type="dxa" w:w="2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Serious</w:t>
            </w:r>
          </w:p>
        </w:tc>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Independent re-review by a different officer within 10 working days (A-37)</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Privacy and data protection</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Personal data reaching the model unnecessarily, or persisting in audit records</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Serious</w:t>
            </w:r>
          </w:p>
        </w:tc>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Redaction before output and before logging (A-13, A-35)</w:t>
            </w:r>
          </w:p>
        </w:tc>
      </w:tr>
      <w:tr>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Access to financial services</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Systematically harder access for an affected group compounds over time</w:t>
            </w:r>
          </w:p>
        </w:tc>
        <w:tc>
          <w:tcPr>
            <w:tcW w:type="dxa" w:w="2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Severe</w:t>
            </w:r>
          </w:p>
        </w:tc>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The fairness controls above; segment-level monitoring</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Consumer protection / fair dealing</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Advice or rationale straying outside the regulated boundary</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Serious</w:t>
            </w:r>
          </w:p>
        </w:tc>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Denied-topic control; officer review</w:t>
            </w:r>
          </w:p>
        </w:tc>
      </w:tr>
    </w:tbl>
    <w:p>
      <w:pPr>
        <w:pStyle w:val="Heading1"/>
        <w:spacing w:after="160" w:before="320"/>
      </w:pPr>
      <w:r>
        <w:rPr>
          <w:b/>
          <w:bCs/>
          <w:color w:val="1F3864"/>
          <w:sz w:val="30"/>
          <w:szCs w:val="30"/>
        </w:rPr>
        <w:t xml:space="preserve">4. Impact on specific groups</w:t>
      </w:r>
    </w:p>
    <w:p>
      <w:pPr>
        <w:spacing w:after="160" w:line="276"/>
      </w:pPr>
      <w:r>
        <w:rPr>
          <w:rFonts w:ascii="Calibri" w:cs="Calibri" w:eastAsia="Calibri" w:hAnsi="Calibri"/>
          <w:b w:val="false"/>
          <w:bCs w:val="false"/>
          <w:i w:val="false"/>
          <w:iCs w:val="false"/>
          <w:sz w:val="21"/>
          <w:szCs w:val="21"/>
        </w:rPr>
        <w:t xml:space="preserve">Assessed by group rather than in aggregate, because an aggregate impact assessment reports the average and the harm sits in the tail.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Group</w:t>
            </w:r>
          </w:p>
        </w:tc>
        <w:tc>
          <w:tcPr>
            <w:tcW w:type="dxa" w:w="26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Impact</w:t>
            </w:r>
          </w:p>
        </w:tc>
        <w:tc>
          <w:tcPr>
            <w:tcW w:type="dxa" w:w="1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Can they detect it?</w:t>
            </w:r>
          </w:p>
        </w:tc>
        <w:tc>
          <w:tcPr>
            <w:tcW w:type="dxa" w:w="1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Can they act on it?</w:t>
            </w:r>
          </w:p>
        </w:tc>
        <w:tc>
          <w:tcPr>
            <w:tcW w:type="dxa" w:w="2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Assessment</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Declined applicants</w:t>
            </w:r>
          </w:p>
        </w:tc>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Highest impact of any group. The outcome affects access to credit and may affect housing, business, or family circumstances</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Only the outcome, not the reasoning behind it</w:t>
            </w:r>
          </w:p>
        </w:tc>
        <w:tc>
          <w:tcPr>
            <w:tcW w:type="dxa" w:w="1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Yes, via A-37 — but only if they are told the route exists</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Controls adequate only if disclosure in A-37 §3 operates as designed</w:t>
            </w:r>
          </w:p>
        </w:tc>
      </w:tr>
      <w:tr>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Applicants in a disadvantaged segment</w:t>
            </w:r>
          </w:p>
        </w:tc>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Systematically different treatment for identical circumstances</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 A segment-level pattern is invisible from a single decision</w:t>
            </w:r>
          </w:p>
        </w:tc>
        <w:tc>
          <w:tcPr>
            <w:tcW w:type="dxa" w:w="1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 — they cannot contest a pattern they cannot see</w:t>
            </w:r>
          </w:p>
        </w:tc>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This is why fairness testing is an organisational obligation and not a customer right. The individual cannot protect themselves here</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Applicants with atypical circumstances</w:t>
            </w:r>
          </w:p>
        </w:tc>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Policy corpus may not cover their situation; grounding may block, routing them to manual handling</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Only as delay</w:t>
            </w:r>
          </w:p>
        </w:tc>
        <w:tc>
          <w:tcPr>
            <w:tcW w:type="dxa" w:w="1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Indirectly</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Acceptable — the fallback is the pre-existing manual process, not a worse outcome</w:t>
            </w:r>
          </w:p>
        </w:tc>
      </w:tr>
      <w:tr>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Applicants unfamiliar with the language of the notice</w:t>
            </w:r>
          </w:p>
        </w:tc>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 explanation they cannot act on is not an explanation</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Partially</w:t>
            </w:r>
          </w:p>
        </w:tc>
        <w:tc>
          <w:tcPr>
            <w:tcW w:type="dxa" w:w="1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Reduced in practice</w:t>
            </w:r>
          </w:p>
        </w:tc>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GAP — see §6</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Loan officers</w:t>
            </w:r>
          </w:p>
        </w:tc>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Accountability for a decision informed by a system they did not build and cannot inspect</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Yes</w:t>
            </w:r>
          </w:p>
        </w:tc>
        <w:tc>
          <w:tcPr>
            <w:tcW w:type="dxa" w:w="1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Yes, via escalation</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Check 4 is an escalation not an edit, so officers are not pushed to conceal control failures</w:t>
            </w:r>
          </w:p>
        </w:tc>
      </w:tr>
      <w:tr>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Future applicants</w:t>
            </w:r>
          </w:p>
        </w:tc>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Decisions today shape the corpus and thresholds applied tomorrow</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w:t>
            </w:r>
          </w:p>
        </w:tc>
        <w:tc>
          <w:tcPr>
            <w:tcW w:type="dxa" w:w="1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w:t>
            </w:r>
          </w:p>
        </w:tc>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Managed through periodic review rather than by any individual control</w:t>
            </w:r>
          </w:p>
        </w:tc>
      </w:tr>
    </w:tbl>
    <w:p>
      <w:pPr>
        <w:pStyle w:val="Heading1"/>
        <w:spacing w:after="160" w:before="320"/>
      </w:pPr>
      <w:r>
        <w:rPr>
          <w:b/>
          <w:bCs/>
          <w:color w:val="1F3864"/>
          <w:sz w:val="30"/>
          <w:szCs w:val="30"/>
        </w:rPr>
        <w:t xml:space="preserve">5. Benefit and harm distribution</w:t>
      </w:r>
    </w:p>
    <w:p>
      <w:pPr>
        <w:pStyle w:val="ListParagraph"/>
        <w:numPr>
          <w:ilvl w:val="0"/>
          <w:numId w:val="2"/>
        </w:numPr>
        <w:spacing w:after="90"/>
      </w:pPr>
      <w:r>
        <w:rPr>
          <w:rFonts w:ascii="Calibri" w:cs="Calibri" w:eastAsia="Calibri" w:hAnsi="Calibri"/>
          <w:b/>
          <w:bCs/>
          <w:sz w:val="21"/>
          <w:szCs w:val="21"/>
        </w:rPr>
        <w:t xml:space="preserve">Is the benefit real? </w:t>
      </w:r>
      <w:r>
        <w:rPr>
          <w:rFonts w:ascii="Calibri" w:cs="Calibri" w:eastAsia="Calibri" w:hAnsi="Calibri"/>
          <w:sz w:val="21"/>
          <w:szCs w:val="21"/>
        </w:rPr>
        <w:t xml:space="preserve">Yes, and it is not only the bank's. Inconsistent, poorly-reasoned adverse action notices are a genuine harm to applicants, and the system directly targets that.</w:t>
      </w:r>
    </w:p>
    <w:p>
      <w:pPr>
        <w:pStyle w:val="ListParagraph"/>
        <w:numPr>
          <w:ilvl w:val="0"/>
          <w:numId w:val="2"/>
        </w:numPr>
        <w:spacing w:after="90"/>
      </w:pPr>
      <w:r>
        <w:rPr>
          <w:rFonts w:ascii="Calibri" w:cs="Calibri" w:eastAsia="Calibri" w:hAnsi="Calibri"/>
          <w:b/>
          <w:bCs/>
          <w:sz w:val="21"/>
          <w:szCs w:val="21"/>
        </w:rPr>
        <w:t xml:space="preserve">Is it fairly distributed? </w:t>
      </w:r>
      <w:r>
        <w:rPr>
          <w:rFonts w:ascii="Calibri" w:cs="Calibri" w:eastAsia="Calibri" w:hAnsi="Calibri"/>
          <w:sz w:val="21"/>
          <w:szCs w:val="21"/>
        </w:rPr>
        <w:t xml:space="preserve">No, and this is stated rather than argued away. Efficiency accrues to the bank; risk accrues to applicants. The response is not to abandon the system but to accept that applicant-protecting controls cannot be traded against delivery pressure.</w:t>
      </w:r>
    </w:p>
    <w:p>
      <w:pPr>
        <w:pStyle w:val="ListParagraph"/>
        <w:numPr>
          <w:ilvl w:val="0"/>
          <w:numId w:val="2"/>
        </w:numPr>
        <w:spacing w:after="90"/>
      </w:pPr>
      <w:r>
        <w:rPr>
          <w:rFonts w:ascii="Calibri" w:cs="Calibri" w:eastAsia="Calibri" w:hAnsi="Calibri"/>
          <w:b/>
          <w:bCs/>
          <w:sz w:val="21"/>
          <w:szCs w:val="21"/>
        </w:rPr>
        <w:t xml:space="preserve">Would we accept this if we were the applicant? </w:t>
      </w:r>
      <w:r>
        <w:rPr>
          <w:rFonts w:ascii="Calibri" w:cs="Calibri" w:eastAsia="Calibri" w:hAnsi="Calibri"/>
          <w:sz w:val="21"/>
          <w:szCs w:val="21"/>
        </w:rPr>
        <w:t xml:space="preserve">For an approved or referred applicant, comfortably. For a declined applicant in a disadvantaged segment before the R-11 remediation, no — and that is precisely the outcome the gate block prevented from reaching production.</w:t>
      </w:r>
    </w:p>
    <w:p>
      <w:pPr>
        <w:pStyle w:val="ListParagraph"/>
        <w:numPr>
          <w:ilvl w:val="0"/>
          <w:numId w:val="2"/>
        </w:numPr>
        <w:spacing w:after="90"/>
      </w:pPr>
      <w:r>
        <w:rPr>
          <w:rFonts w:ascii="Calibri" w:cs="Calibri" w:eastAsia="Calibri" w:hAnsi="Calibri"/>
          <w:b/>
          <w:bCs/>
          <w:sz w:val="21"/>
          <w:szCs w:val="21"/>
        </w:rPr>
        <w:t xml:space="preserve">Is there a less impactful alternative? </w:t>
      </w:r>
      <w:r>
        <w:rPr>
          <w:rFonts w:ascii="Calibri" w:cs="Calibri" w:eastAsia="Calibri" w:hAnsi="Calibri"/>
          <w:sz w:val="21"/>
          <w:szCs w:val="21"/>
        </w:rPr>
        <w:t xml:space="preserve">A rules-based template system would process less data and carry less inference risk, but cannot ground a rationale in the specific applicable clause — which is the harm the project set out to fix. The trade-off is documented in A-35 §3 rather than assumed away.</w:t>
      </w:r>
    </w:p>
    <w:p>
      <w:pPr>
        <w:pStyle w:val="Heading1"/>
        <w:spacing w:after="160" w:before="320"/>
      </w:pPr>
      <w:r>
        <w:rPr>
          <w:b/>
          <w:bCs/>
          <w:color w:val="1F3864"/>
          <w:sz w:val="30"/>
          <w:szCs w:val="30"/>
        </w:rPr>
        <w:t xml:space="preserve">6. Findings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w:t>
            </w:r>
          </w:p>
        </w:tc>
        <w:tc>
          <w:tcPr>
            <w:tcW w:type="dxa" w:w="3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Finding</w:t>
            </w:r>
          </w:p>
        </w:tc>
        <w:tc>
          <w:tcPr>
            <w:tcW w:type="dxa" w:w="12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Severity</w:t>
            </w:r>
          </w:p>
        </w:tc>
        <w:tc>
          <w:tcPr>
            <w:tcW w:type="dxa" w:w="26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Action</w:t>
            </w:r>
          </w:p>
        </w:tc>
        <w:tc>
          <w:tcPr>
            <w:tcW w:type="dxa" w:w="13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Status</w:t>
            </w:r>
          </w:p>
        </w:tc>
      </w:tr>
      <w:tr>
        <w:tc>
          <w:tcPr>
            <w:tcW w:type="dxa" w:w="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F-1</w:t>
            </w:r>
          </w:p>
        </w:tc>
        <w:tc>
          <w:tcPr>
            <w:tcW w:type="dxa" w:w="3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Applicants in a disadvantaged segment cannot detect or contest a pattern-level harm. Individual recourse does not protect against systemic disparity</w:t>
            </w:r>
          </w:p>
        </w:tc>
        <w:tc>
          <w:tcPr>
            <w:tcW w:type="dxa" w:w="1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High</w:t>
            </w:r>
          </w:p>
        </w:tc>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Fairness testing treated as a non-negotiable organisational obligation with a pre-declared threshold, not a customer-triggered check</w:t>
            </w:r>
          </w:p>
        </w:tc>
        <w:tc>
          <w:tcPr>
            <w:tcW w:type="dxa" w:w="1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Closed — A-15</w:t>
            </w:r>
          </w:p>
        </w:tc>
      </w:tr>
      <w:tr>
        <w:tc>
          <w:tcPr>
            <w:tcW w:type="dxa" w:w="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F-2</w:t>
            </w:r>
          </w:p>
        </w:tc>
        <w:tc>
          <w:tcPr>
            <w:tcW w:type="dxa" w:w="3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 recourse route existed at first design. Every control protected the bank's ability to evidence decisions; none protected the applicant's ability to challenge them</w:t>
            </w:r>
          </w:p>
        </w:tc>
        <w:tc>
          <w:tcPr>
            <w:tcW w:type="dxa" w:w="1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High</w:t>
            </w:r>
          </w:p>
        </w:tc>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Adverse_Action_and_Customer_Recourse_Procedure created and made a precondition of go-live</w:t>
            </w:r>
          </w:p>
        </w:tc>
        <w:tc>
          <w:tcPr>
            <w:tcW w:type="dxa" w:w="1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Closed — A-37</w:t>
            </w:r>
          </w:p>
        </w:tc>
      </w:tr>
      <w:tr>
        <w:tc>
          <w:tcPr>
            <w:tcW w:type="dxa" w:w="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F-3</w:t>
            </w:r>
          </w:p>
        </w:tc>
        <w:tc>
          <w:tcPr>
            <w:tcW w:type="dxa" w:w="3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Adverse action notices are issued in English only. An explanation the recipient cannot act on does not discharge the explanation obligation in substance</w:t>
            </w:r>
          </w:p>
        </w:tc>
        <w:tc>
          <w:tcPr>
            <w:tcW w:type="dxa" w:w="1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Medium</w:t>
            </w:r>
          </w:p>
        </w:tc>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Assess translation of the recourse route and the stated reason for the pilot population's language profile</w:t>
            </w:r>
          </w:p>
        </w:tc>
        <w:tc>
          <w:tcPr>
            <w:tcW w:type="dxa" w:w="1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OPEN — assigned to Compliance, no target date set</w:t>
            </w:r>
          </w:p>
        </w:tc>
      </w:tr>
      <w:tr>
        <w:tc>
          <w:tcPr>
            <w:tcW w:type="dxa" w:w="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F-4</w:t>
            </w:r>
          </w:p>
        </w:tc>
        <w:tc>
          <w:tcPr>
            <w:tcW w:type="dxa" w:w="3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Human review can satisfy the letter of Art.14 while failing it in substance</w:t>
            </w:r>
          </w:p>
        </w:tc>
        <w:tc>
          <w:tcPr>
            <w:tcW w:type="dxa" w:w="1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High</w:t>
            </w:r>
          </w:p>
        </w:tc>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Two-sided override band; a low override rate escalates as a control failure rather than being reported as model quality</w:t>
            </w:r>
          </w:p>
        </w:tc>
        <w:tc>
          <w:tcPr>
            <w:tcW w:type="dxa" w:w="1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Closed — A-36</w:t>
            </w:r>
          </w:p>
        </w:tc>
      </w:tr>
      <w:tr>
        <w:tc>
          <w:tcPr>
            <w:tcW w:type="dxa" w:w="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F-5</w:t>
            </w:r>
          </w:p>
        </w:tc>
        <w:tc>
          <w:tcPr>
            <w:tcW w:type="dxa" w:w="3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Benefit and risk fall on different parties, so applicant-protecting controls cannot be scoped by the bank's own risk appetite</w:t>
            </w:r>
          </w:p>
        </w:tc>
        <w:tc>
          <w:tcPr>
            <w:tcW w:type="dxa" w:w="1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High</w:t>
            </w:r>
          </w:p>
        </w:tc>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Recorded as a governing constraint in this assessment and referenced in A-20 §2</w:t>
            </w:r>
          </w:p>
        </w:tc>
        <w:tc>
          <w:tcPr>
            <w:tcW w:type="dxa" w:w="1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Closed — recorded</w:t>
            </w:r>
          </w:p>
        </w:tc>
      </w:tr>
      <w:tr>
        <w:tc>
          <w:tcPr>
            <w:tcW w:type="dxa" w:w="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F-6</w:t>
            </w:r>
          </w:p>
        </w:tc>
        <w:tc>
          <w:tcPr>
            <w:tcW w:type="dxa" w:w="3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The logical verification control is unavailable in the required jurisdiction, so an unsupported conclusion relies on human detection</w:t>
            </w:r>
          </w:p>
        </w:tc>
        <w:tc>
          <w:tcPr>
            <w:tcW w:type="dxa" w:w="1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Medium</w:t>
            </w:r>
          </w:p>
        </w:tc>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Compensating control stated as weaker; quarterly availability review; carried as R-12</w:t>
            </w:r>
          </w:p>
        </w:tc>
        <w:tc>
          <w:tcPr>
            <w:tcW w:type="dxa" w:w="1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OPEN — accepted with condition</w:t>
            </w:r>
          </w:p>
        </w:tc>
      </w:tr>
    </w:tbl>
    <w:p>
      <w:pPr>
        <w:pBdr>
          <w:left w:val="single" w:color="BF8F00" w:sz="18" w:space="8"/>
        </w:pBdr>
        <w:shd w:fill="FFF2CC" w:val="clear"/>
        <w:spacing w:after="200" w:before="80"/>
        <w:ind w:left="200"/>
      </w:pPr>
      <w:r>
        <w:rPr>
          <w:rFonts w:ascii="Calibri" w:cs="Calibri" w:eastAsia="Calibri" w:hAnsi="Calibri"/>
          <w:i/>
          <w:iCs/>
          <w:color w:val="7F6000"/>
          <w:sz w:val="20"/>
          <w:szCs w:val="20"/>
        </w:rPr>
        <w:t xml:space="preserve">⚠  F-3 is open with no target date, and that is recorded rather than tidied. It was identified during this assessment, has not yet been resourced, and does not currently block the pilot because the pilot population's language profile has not been assessed. Leaving it visible with an owner and no date is more honest than assigning a date nobody has committed to.</w:t>
      </w:r>
    </w:p>
    <w:p>
      <w:pPr>
        <w:pStyle w:val="Heading1"/>
        <w:spacing w:after="160" w:before="320"/>
      </w:pPr>
      <w:r>
        <w:rPr>
          <w:b/>
          <w:bCs/>
          <w:color w:val="1F3864"/>
          <w:sz w:val="30"/>
          <w:szCs w:val="30"/>
        </w:rPr>
        <w:t xml:space="preserve">7. Conditions on deployment</w:t>
      </w:r>
    </w:p>
    <w:p>
      <w:pPr>
        <w:pStyle w:val="ListParagraph"/>
        <w:numPr>
          <w:ilvl w:val="0"/>
          <w:numId w:val="3"/>
        </w:numPr>
        <w:spacing w:after="90"/>
      </w:pPr>
      <w:r>
        <w:rPr>
          <w:rFonts w:ascii="Calibri" w:cs="Calibri" w:eastAsia="Calibri" w:hAnsi="Calibri"/>
          <w:sz w:val="21"/>
          <w:szCs w:val="21"/>
        </w:rPr>
        <w:t xml:space="preserve">Fairness re-testing quarterly and on any corpus or model change, with a threshold that may not be adjusted in response to a result.</w:t>
      </w:r>
    </w:p>
    <w:p>
      <w:pPr>
        <w:pStyle w:val="ListParagraph"/>
        <w:numPr>
          <w:ilvl w:val="0"/>
          <w:numId w:val="3"/>
        </w:numPr>
        <w:spacing w:after="90"/>
      </w:pPr>
      <w:r>
        <w:rPr>
          <w:rFonts w:ascii="Calibri" w:cs="Calibri" w:eastAsia="Calibri" w:hAnsi="Calibri"/>
          <w:sz w:val="21"/>
          <w:szCs w:val="21"/>
        </w:rPr>
        <w:t xml:space="preserve">The recourse route operational and disclosed before the first live decision.</w:t>
      </w:r>
    </w:p>
    <w:p>
      <w:pPr>
        <w:pStyle w:val="ListParagraph"/>
        <w:numPr>
          <w:ilvl w:val="0"/>
          <w:numId w:val="3"/>
        </w:numPr>
        <w:spacing w:after="90"/>
      </w:pPr>
      <w:r>
        <w:rPr>
          <w:rFonts w:ascii="Calibri" w:cs="Calibri" w:eastAsia="Calibri" w:hAnsi="Calibri"/>
          <w:sz w:val="21"/>
          <w:szCs w:val="21"/>
        </w:rPr>
        <w:t xml:space="preserve">Override rate monitored as a two-sided band, with below-band performance escalated as a control failure.</w:t>
      </w:r>
    </w:p>
    <w:p>
      <w:pPr>
        <w:pStyle w:val="ListParagraph"/>
        <w:numPr>
          <w:ilvl w:val="0"/>
          <w:numId w:val="3"/>
        </w:numPr>
        <w:spacing w:after="90"/>
      </w:pPr>
      <w:r>
        <w:rPr>
          <w:rFonts w:ascii="Calibri" w:cs="Calibri" w:eastAsia="Calibri" w:hAnsi="Calibri"/>
          <w:sz w:val="21"/>
          <w:szCs w:val="21"/>
        </w:rPr>
        <w:t xml:space="preserve">Reversal clusters sharing a characteristic treated as a potential systemic finding, triggering an unscheduled fairness re-test.</w:t>
      </w:r>
    </w:p>
    <w:p>
      <w:pPr>
        <w:pStyle w:val="ListParagraph"/>
        <w:numPr>
          <w:ilvl w:val="0"/>
          <w:numId w:val="3"/>
        </w:numPr>
        <w:spacing w:after="90"/>
      </w:pPr>
      <w:r>
        <w:rPr>
          <w:rFonts w:ascii="Calibri" w:cs="Calibri" w:eastAsia="Calibri" w:hAnsi="Calibri"/>
          <w:sz w:val="21"/>
          <w:szCs w:val="21"/>
        </w:rPr>
        <w:t xml:space="preserve">F-3 assessed before any expansion beyond the pilot population.</w:t>
      </w:r>
    </w:p>
    <w:p>
      <w:pPr>
        <w:pStyle w:val="ListParagraph"/>
        <w:numPr>
          <w:ilvl w:val="0"/>
          <w:numId w:val="3"/>
        </w:numPr>
        <w:spacing w:after="90"/>
      </w:pPr>
      <w:r>
        <w:rPr>
          <w:rFonts w:ascii="Calibri" w:cs="Calibri" w:eastAsia="Calibri" w:hAnsi="Calibri"/>
          <w:sz w:val="21"/>
          <w:szCs w:val="21"/>
        </w:rPr>
        <w:t xml:space="preserve">This assessment re-performed on any change to purpose, population, or the human review model — and at minimum annually.</w:t>
      </w:r>
    </w:p>
    <w:p>
      <w:pPr>
        <w:pStyle w:val="Heading1"/>
        <w:spacing w:after="160" w:before="320"/>
      </w:pPr>
      <w:r>
        <w:rPr>
          <w:b/>
          <w:bCs/>
          <w:color w:val="1F3864"/>
          <w:sz w:val="30"/>
          <w:szCs w:val="30"/>
        </w:rPr>
        <w:t xml:space="preserve">8. Conclusion</w:t>
      </w:r>
    </w:p>
    <w:p>
      <w:pPr>
        <w:spacing w:after="160" w:line="276"/>
      </w:pPr>
      <w:r>
        <w:rPr>
          <w:rFonts w:ascii="Calibri" w:cs="Calibri" w:eastAsia="Calibri" w:hAnsi="Calibri"/>
          <w:b w:val="false"/>
          <w:bCs w:val="false"/>
          <w:i w:val="false"/>
          <w:iCs w:val="false"/>
          <w:sz w:val="21"/>
          <w:szCs w:val="21"/>
        </w:rPr>
        <w:t xml:space="preserve">The system may proceed within the pilot scope, subject to §7. The assessment's central judgement is not that the risks are low — several are severe — but that they are borne by people who cannot detect or contest most of them, which places the burden of protection entirely on the organisation's controls rather than on individual recourse.</w:t>
      </w:r>
    </w:p>
    <w:p>
      <w:pPr>
        <w:pBdr>
          <w:left w:val="single" w:color="1F3864" w:sz="18" w:space="8"/>
        </w:pBdr>
        <w:spacing w:after="200" w:before="120"/>
        <w:ind w:left="200"/>
      </w:pPr>
      <w:r>
        <w:rPr>
          <w:rFonts w:ascii="Calibri" w:cs="Calibri" w:eastAsia="Calibri" w:hAnsi="Calibri"/>
          <w:i/>
          <w:iCs/>
          <w:color w:val="1F3864"/>
          <w:sz w:val="22"/>
          <w:szCs w:val="22"/>
        </w:rPr>
        <w:t xml:space="preserve">The test applied throughout: not whether the outcome is defensible to a regulator, but whether it is defensible to the person it affects. Where those diverge, the second governs.</w:t>
      </w:r>
    </w:p>
    <w:p>
      <w:pPr>
        <w:pStyle w:val="Heading1"/>
        <w:spacing w:after="160" w:before="320"/>
      </w:pPr>
      <w:r>
        <w:rPr>
          <w:b/>
          <w:bCs/>
          <w:color w:val="1F3864"/>
          <w:sz w:val="30"/>
          <w:szCs w:val="30"/>
        </w:rPr>
        <w:t xml:space="preserve">9. Sources and attribution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Source</w:t>
            </w:r>
          </w:p>
        </w:tc>
        <w:tc>
          <w:tcPr>
            <w:tcW w:type="dxa" w:w="32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What it contributed</w:t>
            </w:r>
          </w:p>
        </w:tc>
        <w:tc>
          <w:tcPr>
            <w:tcW w:type="dxa" w:w="3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How this assessment differs</w:t>
            </w:r>
          </w:p>
        </w:tc>
      </w:tr>
      <w:tr>
        <w:tc>
          <w:tcPr>
            <w:tcW w:type="dxa" w:w="2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Third-party Responsible AI impact assessment template (vendor-published)</w:t>
            </w:r>
          </w:p>
        </w:tc>
        <w:tc>
          <w:tcPr>
            <w:tcW w:type="dxa" w:w="3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Assessment structure — system description, stakeholder identification, harms analysis, and the benefit-distribution question</w:t>
            </w:r>
          </w:p>
        </w:tc>
        <w:tc>
          <w:tcPr>
            <w:tcW w:type="dxa" w:w="3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Structure adopted. Section 4's detectability and actionability columns are added here, because the source template assessed impact severity without asking whether the affected person could see it or do anything about it. That distinction produced findings F-1 and F-2</w:t>
            </w:r>
          </w:p>
        </w:tc>
      </w:tr>
      <w:tr>
        <w:tc>
          <w:tcPr>
            <w:tcW w:type="dxa" w:w="2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EU AI Act Art.27</w:t>
            </w:r>
          </w:p>
        </w:tc>
        <w:tc>
          <w:tcPr>
            <w:tcW w:type="dxa" w:w="3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Fundamental rights impact assessment framing for §3</w:t>
            </w:r>
          </w:p>
        </w:tc>
        <w:tc>
          <w:tcPr>
            <w:tcW w:type="dxa" w:w="3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Performed notwithstanding an unresolved question about whether the deployer category applies</w:t>
            </w:r>
          </w:p>
        </w:tc>
      </w:tr>
      <w:tr>
        <w:tc>
          <w:tcPr>
            <w:tcW w:type="dxa" w:w="2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MAS FEAT</w:t>
            </w:r>
          </w:p>
        </w:tc>
        <w:tc>
          <w:tcPr>
            <w:tcW w:type="dxa" w:w="3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Fairness and transparency dimensions in §3 and §4</w:t>
            </w:r>
          </w:p>
        </w:tc>
        <w:tc>
          <w:tcPr>
            <w:tcW w:type="dxa" w:w="3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Applied as the supervisory expectation alongside the binding EU obligations</w:t>
            </w:r>
          </w:p>
        </w:tc>
      </w:tr>
      <w:tr>
        <w:tc>
          <w:tcPr>
            <w:tcW w:type="dxa" w:w="2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Singapore Model AI Governance Framework</w:t>
            </w:r>
          </w:p>
        </w:tc>
        <w:tc>
          <w:tcPr>
            <w:tcW w:type="dxa" w:w="3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Human involvement and explainability framing</w:t>
            </w:r>
          </w:p>
        </w:tc>
        <w:tc>
          <w:tcPr>
            <w:tcW w:type="dxa" w:w="3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Informs §4 and §6 F-4</w:t>
            </w:r>
          </w:p>
        </w:tc>
      </w:tr>
    </w:tbl>
    <w:p>
      <w:pPr>
        <w:spacing w:after="160" w:line="276"/>
      </w:pPr>
      <w:r>
        <w:rPr>
          <w:rFonts w:ascii="Calibri" w:cs="Calibri" w:eastAsia="Calibri" w:hAnsi="Calibri"/>
          <w:b w:val="false"/>
          <w:bCs w:val="false"/>
          <w:i/>
          <w:iCs/>
          <w:sz w:val="21"/>
          <w:szCs w:val="21"/>
        </w:rPr>
        <w:t xml:space="preserve">Naming the source costs nothing and pre-empts a question a reviewer would otherwise ask. Applying a published framework to your own system and reaching your own findings is legitimate governance work; holding the blank template is not.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2026-09-10T15:49:33.713Z</dcterms:created>
  <dcterms:modified xsi:type="dcterms:W3CDTF">2026-09-10T15:49:33.713Z</dcterms:modified>
</cp:coreProperties>
</file>

<file path=docProps/custom.xml><?xml version="1.0" encoding="utf-8"?>
<Properties xmlns="http://schemas.openxmlformats.org/officeDocument/2006/custom-properties" xmlns:vt="http://schemas.openxmlformats.org/officeDocument/2006/docPropsVTypes"/>
</file>