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3864"/>
          <w:sz w:val="40"/>
        </w:rPr>
        <w:t>AI Risk Management Policy</w:t>
      </w:r>
    </w:p>
    <w:p>
      <w:pPr>
        <w:spacing w:after="240"/>
      </w:pPr>
      <w:r>
        <w:rPr>
          <w:rFonts w:ascii="Calibri" w:hAnsi="Calibri"/>
          <w:i/>
          <w:color w:val="595959"/>
          <w:sz w:val="23"/>
        </w:rPr>
        <w:t>Credit Decisioning Assistant (CDA) Framework — Artefact A-12, v2.1</w:t>
      </w:r>
    </w:p>
    <w:tbl>
      <w:tblPr>
        <w:tblW w:type="auto" w:w="0"/>
        <w:jc w:val="center"/>
        <w:tblLook w:firstColumn="1" w:firstRow="1" w:lastColumn="0" w:lastRow="0" w:noHBand="0" w:noVBand="1" w:val="04A0"/>
      </w:tblPr>
      <w:tblGrid>
        <w:gridCol w:w="2592"/>
        <w:gridCol w:w="7344"/>
      </w:tblGrid>
      <w:tr>
        <w:tc>
          <w:tcPr>
            <w:tcW w:type="dxa" w:w="4968"/>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FFFFFF"/>
                <w:sz w:val="20"/>
              </w:rPr>
              <w:t>Field</w:t>
            </w:r>
          </w:p>
        </w:tc>
        <w:tc>
          <w:tcPr>
            <w:tcW w:type="dxa" w:w="4968"/>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FFFFFF"/>
                <w:sz w:val="20"/>
              </w:rPr>
              <w:t>Detail</w:t>
            </w:r>
          </w:p>
        </w:tc>
      </w:tr>
      <w:tr>
        <w:tc>
          <w:tcPr>
            <w:tcW w:type="dxa" w:w="4968"/>
            <w:shd w:fill="F2F4F7"/>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1F3864"/>
                <w:sz w:val="19"/>
              </w:rPr>
              <w:t>Artefact ID</w:t>
            </w:r>
          </w:p>
        </w:tc>
        <w:tc>
          <w:tcPr>
            <w:tcW w:type="dxa" w:w="4968"/>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9"/>
              </w:rPr>
              <w:t>A-12</w:t>
            </w:r>
          </w:p>
        </w:tc>
      </w:tr>
      <w:tr>
        <w:tc>
          <w:tcPr>
            <w:tcW w:type="dxa" w:w="4968"/>
            <w:shd w:fill="F2F4F7"/>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1F3864"/>
                <w:sz w:val="19"/>
              </w:rPr>
              <w:t>Title</w:t>
            </w:r>
          </w:p>
        </w:tc>
        <w:tc>
          <w:tcPr>
            <w:tcW w:type="dxa" w:w="4968"/>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9"/>
              </w:rPr>
              <w:t>AI Risk Management Policy</w:t>
            </w:r>
          </w:p>
        </w:tc>
      </w:tr>
      <w:tr>
        <w:tc>
          <w:tcPr>
            <w:tcW w:type="dxa" w:w="4968"/>
            <w:shd w:fill="F2F4F7"/>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1F3864"/>
                <w:sz w:val="19"/>
              </w:rPr>
              <w:t>System Governed</w:t>
            </w:r>
          </w:p>
        </w:tc>
        <w:tc>
          <w:tcPr>
            <w:tcW w:type="dxa" w:w="4968"/>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9"/>
              </w:rPr>
              <w:t>Credit Decisioning Assistant (CDA) — hybrid deterministic XGBoost scoring + AWS Bedrock (Claude) RAG narration supporting retail credit decisions (~870,000 annual applicants)</w:t>
            </w:r>
          </w:p>
        </w:tc>
      </w:tr>
      <w:tr>
        <w:tc>
          <w:tcPr>
            <w:tcW w:type="dxa" w:w="4968"/>
            <w:shd w:fill="F2F4F7"/>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1F3864"/>
                <w:sz w:val="19"/>
              </w:rPr>
              <w:t>Document Owner</w:t>
            </w:r>
          </w:p>
        </w:tc>
        <w:tc>
          <w:tcPr>
            <w:tcW w:type="dxa" w:w="4968"/>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9"/>
              </w:rPr>
              <w:t>Chief Risk Officer (CRO)</w:t>
            </w:r>
          </w:p>
        </w:tc>
      </w:tr>
      <w:tr>
        <w:tc>
          <w:tcPr>
            <w:tcW w:type="dxa" w:w="4968"/>
            <w:shd w:fill="F2F4F7"/>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1F3864"/>
                <w:sz w:val="19"/>
              </w:rPr>
              <w:t>Approving Authority</w:t>
            </w:r>
          </w:p>
        </w:tc>
        <w:tc>
          <w:tcPr>
            <w:tcW w:type="dxa" w:w="4968"/>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9"/>
              </w:rPr>
              <w:t>AI Governance Committee (AIGC), ratified by Executive Committee (ExCo)</w:t>
            </w:r>
          </w:p>
        </w:tc>
      </w:tr>
      <w:tr>
        <w:tc>
          <w:tcPr>
            <w:tcW w:type="dxa" w:w="4968"/>
            <w:shd w:fill="F2F4F7"/>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1F3864"/>
                <w:sz w:val="19"/>
              </w:rPr>
              <w:t>Classification</w:t>
            </w:r>
          </w:p>
        </w:tc>
        <w:tc>
          <w:tcPr>
            <w:tcW w:type="dxa" w:w="4968"/>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9"/>
              </w:rPr>
              <w:t>Internal — Enterprise AI Governance Framework (Tier 1 High-Risk System)</w:t>
            </w:r>
          </w:p>
        </w:tc>
      </w:tr>
      <w:tr>
        <w:tc>
          <w:tcPr>
            <w:tcW w:type="dxa" w:w="4968"/>
            <w:shd w:fill="F2F4F7"/>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1F3864"/>
                <w:sz w:val="19"/>
              </w:rPr>
              <w:t>Regulatory Basis</w:t>
            </w:r>
          </w:p>
        </w:tc>
        <w:tc>
          <w:tcPr>
            <w:tcW w:type="dxa" w:w="4968"/>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9"/>
              </w:rPr>
              <w:t>EU AI Act Art. 9 (Risk Management System), Art. 14 (Human Oversight), Art. 27 (FRIA); ISO/IEC 42001 Cl. 6; NIST AI RMF (GOVERN &amp; MANAGE); MAS TRM Ch. 3; MAS FEAT Principles; GDPR Art. 22</w:t>
            </w:r>
          </w:p>
        </w:tc>
      </w:tr>
      <w:tr>
        <w:tc>
          <w:tcPr>
            <w:tcW w:type="dxa" w:w="4968"/>
            <w:shd w:fill="F2F4F7"/>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1F3864"/>
                <w:sz w:val="19"/>
              </w:rPr>
              <w:t>Review Cycle</w:t>
            </w:r>
          </w:p>
        </w:tc>
        <w:tc>
          <w:tcPr>
            <w:tcW w:type="dxa" w:w="4968"/>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9"/>
              </w:rPr>
              <w:t>Annual, or immediately upon any zero-appetite threshold breach or event trigger defined in Post-Deployment Monitoring Policy (A-30) §5</w:t>
            </w:r>
          </w:p>
        </w:tc>
      </w:tr>
      <w:tr>
        <w:tc>
          <w:tcPr>
            <w:tcW w:type="dxa" w:w="4968"/>
            <w:shd w:fill="F2F4F7"/>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1F3864"/>
                <w:sz w:val="19"/>
              </w:rPr>
              <w:t>Nature of Document</w:t>
            </w:r>
          </w:p>
        </w:tc>
        <w:tc>
          <w:tcPr>
            <w:tcW w:type="dxa" w:w="4968"/>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9"/>
              </w:rPr>
              <w:t>Governance design artefact produced as part of a worked portfolio example. Figures, dates, and named decisions demonstrate operational control behavior and are internally consistent with Artifacts A-01 through A-44.</w:t>
            </w:r>
          </w:p>
        </w:tc>
      </w:tr>
    </w:tbl>
    <w:p>
      <w:pPr>
        <w:spacing w:after="160"/>
      </w:pPr>
    </w:p>
    <w:p>
      <w:pPr>
        <w:spacing w:after="80"/>
      </w:pPr>
      <w:r>
        <w:rPr>
          <w:rFonts w:ascii="Calibri" w:hAnsi="Calibri"/>
          <w:b/>
          <w:color w:val="1F3864"/>
          <w:sz w:val="26"/>
        </w:rPr>
        <w:t>Document Control &amp; Version History</w:t>
      </w:r>
    </w:p>
    <w:tbl>
      <w:tblPr>
        <w:tblW w:type="auto" w:w="0"/>
        <w:jc w:val="center"/>
        <w:tblLook w:firstColumn="1" w:firstRow="1" w:lastColumn="0" w:lastRow="0" w:noHBand="0" w:noVBand="1" w:val="04A0"/>
      </w:tblPr>
      <w:tblGrid>
        <w:gridCol w:w="864"/>
        <w:gridCol w:w="1152"/>
        <w:gridCol w:w="1584"/>
        <w:gridCol w:w="1584"/>
        <w:gridCol w:w="1584"/>
        <w:gridCol w:w="1152"/>
        <w:gridCol w:w="2016"/>
      </w:tblGrid>
      <w:tr>
        <w:tc>
          <w:tcPr>
            <w:tcW w:type="dxa" w:w="1419"/>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FFFFFF"/>
                <w:sz w:val="19"/>
              </w:rPr>
              <w:t>Version</w:t>
            </w:r>
          </w:p>
        </w:tc>
        <w:tc>
          <w:tcPr>
            <w:tcW w:type="dxa" w:w="1419"/>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FFFFFF"/>
                <w:sz w:val="19"/>
              </w:rPr>
              <w:t>Date</w:t>
            </w:r>
          </w:p>
        </w:tc>
        <w:tc>
          <w:tcPr>
            <w:tcW w:type="dxa" w:w="1419"/>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FFFFFF"/>
                <w:sz w:val="19"/>
              </w:rPr>
              <w:t>Author</w:t>
            </w:r>
          </w:p>
        </w:tc>
        <w:tc>
          <w:tcPr>
            <w:tcW w:type="dxa" w:w="1419"/>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FFFFFF"/>
                <w:sz w:val="19"/>
              </w:rPr>
              <w:t>Reviewer</w:t>
            </w:r>
          </w:p>
        </w:tc>
        <w:tc>
          <w:tcPr>
            <w:tcW w:type="dxa" w:w="1419"/>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FFFFFF"/>
                <w:sz w:val="19"/>
              </w:rPr>
              <w:t>Approver</w:t>
            </w:r>
          </w:p>
        </w:tc>
        <w:tc>
          <w:tcPr>
            <w:tcW w:type="dxa" w:w="1419"/>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FFFFFF"/>
                <w:sz w:val="19"/>
              </w:rPr>
              <w:t>Status</w:t>
            </w:r>
          </w:p>
        </w:tc>
        <w:tc>
          <w:tcPr>
            <w:tcW w:type="dxa" w:w="1419"/>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FFFFFF"/>
                <w:sz w:val="19"/>
              </w:rPr>
              <w:t>Change Summary</w:t>
            </w:r>
          </w:p>
        </w:tc>
      </w:tr>
      <w:tr>
        <w:tc>
          <w:tcPr>
            <w:tcW w:type="dxa" w:w="1419"/>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000000"/>
                <w:sz w:val="18"/>
              </w:rPr>
              <w:t>v1.0</w:t>
            </w:r>
          </w:p>
        </w:tc>
        <w:tc>
          <w:tcPr>
            <w:tcW w:type="dxa" w:w="1419"/>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val="0"/>
                <w:i w:val="0"/>
                <w:color w:val="000000"/>
                <w:sz w:val="18"/>
              </w:rPr>
              <w:t>2026-01-15</w:t>
            </w:r>
          </w:p>
        </w:tc>
        <w:tc>
          <w:tcPr>
            <w:tcW w:type="dxa" w:w="1419"/>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AI Governance Lead</w:t>
            </w:r>
          </w:p>
        </w:tc>
        <w:tc>
          <w:tcPr>
            <w:tcW w:type="dxa" w:w="1419"/>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Risk</w:t>
            </w:r>
          </w:p>
        </w:tc>
        <w:tc>
          <w:tcPr>
            <w:tcW w:type="dxa" w:w="1419"/>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AI Governance Committee</w:t>
            </w:r>
          </w:p>
        </w:tc>
        <w:tc>
          <w:tcPr>
            <w:tcW w:type="dxa" w:w="1419"/>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val="0"/>
                <w:i w:val="0"/>
                <w:color w:val="000000"/>
                <w:sz w:val="18"/>
              </w:rPr>
              <w:t>Superseded</w:t>
            </w:r>
          </w:p>
        </w:tc>
        <w:tc>
          <w:tcPr>
            <w:tcW w:type="dxa" w:w="1419"/>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Initial policy; overlapped materially with the governance strategy document.</w:t>
            </w:r>
          </w:p>
        </w:tc>
      </w:tr>
      <w:tr>
        <w:tc>
          <w:tcPr>
            <w:tcW w:type="dxa" w:w="1419"/>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000000"/>
                <w:sz w:val="18"/>
              </w:rPr>
              <w:t>v2.0</w:t>
            </w:r>
          </w:p>
        </w:tc>
        <w:tc>
          <w:tcPr>
            <w:tcW w:type="dxa" w:w="1419"/>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val="0"/>
                <w:i w:val="0"/>
                <w:color w:val="000000"/>
                <w:sz w:val="18"/>
              </w:rPr>
              <w:t>2026-09-10</w:t>
            </w:r>
          </w:p>
        </w:tc>
        <w:tc>
          <w:tcPr>
            <w:tcW w:type="dxa" w:w="1419"/>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AI Governance Lead</w:t>
            </w:r>
          </w:p>
        </w:tc>
        <w:tc>
          <w:tcPr>
            <w:tcW w:type="dxa" w:w="1419"/>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Risk; Compliance</w:t>
            </w:r>
          </w:p>
        </w:tc>
        <w:tc>
          <w:tcPr>
            <w:tcW w:type="dxa" w:w="1419"/>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AI Governance Committee</w:t>
            </w:r>
          </w:p>
        </w:tc>
        <w:tc>
          <w:tcPr>
            <w:tcW w:type="dxa" w:w="1419"/>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val="0"/>
                <w:i w:val="0"/>
                <w:color w:val="000000"/>
                <w:sz w:val="18"/>
              </w:rPr>
              <w:t>Superseded</w:t>
            </w:r>
          </w:p>
        </w:tc>
        <w:tc>
          <w:tcPr>
            <w:tcW w:type="dxa" w:w="1419"/>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Rescoped to risk appetite, tolerance thresholds, and escalation authority. Overlapping content removed and cross-referenced.</w:t>
            </w:r>
          </w:p>
        </w:tc>
      </w:tr>
      <w:tr>
        <w:tc>
          <w:tcPr>
            <w:tcW w:type="dxa" w:w="1419"/>
            <w:shd w:fill="D9EAD3"/>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000000"/>
                <w:sz w:val="18"/>
              </w:rPr>
              <w:t>v2.1</w:t>
            </w:r>
          </w:p>
        </w:tc>
        <w:tc>
          <w:tcPr>
            <w:tcW w:type="dxa" w:w="1419"/>
            <w:shd w:fill="D9EAD3"/>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val="0"/>
                <w:i w:val="0"/>
                <w:color w:val="000000"/>
                <w:sz w:val="18"/>
              </w:rPr>
              <w:t>2026-09-14</w:t>
            </w:r>
          </w:p>
        </w:tc>
        <w:tc>
          <w:tcPr>
            <w:tcW w:type="dxa" w:w="1419"/>
            <w:shd w:fill="D9EAD3"/>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AI Governance Lead</w:t>
            </w:r>
          </w:p>
        </w:tc>
        <w:tc>
          <w:tcPr>
            <w:tcW w:type="dxa" w:w="1419"/>
            <w:shd w:fill="D9EAD3"/>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Model Risk; CISO; DPO</w:t>
            </w:r>
          </w:p>
        </w:tc>
        <w:tc>
          <w:tcPr>
            <w:tcW w:type="dxa" w:w="1419"/>
            <w:shd w:fill="D9EAD3"/>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AI Governance Committee; CRO</w:t>
            </w:r>
          </w:p>
        </w:tc>
        <w:tc>
          <w:tcPr>
            <w:tcW w:type="dxa" w:w="1419"/>
            <w:shd w:fill="D9EAD3"/>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val="0"/>
                <w:i w:val="0"/>
                <w:color w:val="000000"/>
                <w:sz w:val="18"/>
              </w:rPr>
              <w:t>Approved</w:t>
            </w:r>
          </w:p>
        </w:tc>
        <w:tc>
          <w:tcPr>
            <w:tcW w:type="dxa" w:w="1419"/>
            <w:shd w:fill="D9EAD3"/>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Incorporated formal Three Lines of Defense (3LoD) governance mandate, explicit Tier 1 High-Risk classification boundary rules, and mandatory independent second/third-line validation for zero-appetite security and fairness controls. Aligned with Project 4 Artifacts A-01 to A-44.</w:t>
            </w:r>
          </w:p>
        </w:tc>
      </w:tr>
    </w:tbl>
    <w:p>
      <w:pPr>
        <w:spacing w:after="200"/>
      </w:pPr>
    </w:p>
    <w:p>
      <w:pPr>
        <w:spacing w:after="80"/>
      </w:pPr>
      <w:r>
        <w:rPr>
          <w:rFonts w:ascii="Calibri" w:hAnsi="Calibri"/>
          <w:b/>
          <w:color w:val="1F3864"/>
          <w:sz w:val="28"/>
        </w:rPr>
        <w:t>1. Scope and Relationship to Other Policies</w:t>
      </w:r>
    </w:p>
    <w:p>
      <w:pPr>
        <w:spacing w:after="120"/>
      </w:pPr>
      <w:r>
        <w:rPr>
          <w:rFonts w:ascii="Calibri" w:hAnsi="Calibri"/>
          <w:sz w:val="20"/>
        </w:rPr>
        <w:t>Version 1.0 of this policy described the governance operating model, the risk process, and the treatment approach — material already covered by the AI Governance Strategy Document (A-25) and Risk Treatment Plan (A-11). Where two policies describe the same obligation in slightly different words, neither is authoritative, which is a governance weakness in its own right. This policy is rescoped strictly to the three mandates no other artefact establishes: (1) what level of AI risk the organisation is willing to accept, (2) at what precise quantitative point that tolerance is exceeded, and (3) who possesses unilateral authority to act when it is.</w:t>
      </w:r>
    </w:p>
    <w:tbl>
      <w:tblPr>
        <w:tblW w:type="auto" w:w="0"/>
        <w:jc w:val="center"/>
        <w:tblLook w:firstColumn="1" w:firstRow="1" w:lastColumn="0" w:lastRow="0" w:noHBand="0" w:noVBand="1" w:val="04A0"/>
      </w:tblPr>
      <w:tblGrid>
        <w:gridCol w:w="3456"/>
        <w:gridCol w:w="3456"/>
        <w:gridCol w:w="3024"/>
      </w:tblGrid>
      <w:tr>
        <w:tc>
          <w:tcPr>
            <w:tcW w:type="dxa" w:w="3312"/>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FFFFFF"/>
                <w:sz w:val="19"/>
              </w:rPr>
              <w:t>This Policy States</w:t>
            </w:r>
          </w:p>
        </w:tc>
        <w:tc>
          <w:tcPr>
            <w:tcW w:type="dxa" w:w="3312"/>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FFFFFF"/>
                <w:sz w:val="19"/>
              </w:rPr>
              <w:t>This Policy Does Not State</w:t>
            </w:r>
          </w:p>
        </w:tc>
        <w:tc>
          <w:tcPr>
            <w:tcW w:type="dxa" w:w="3312"/>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FFFFFF"/>
                <w:sz w:val="19"/>
              </w:rPr>
              <w:t>Where That Sits</w:t>
            </w:r>
          </w:p>
        </w:tc>
      </w:tr>
      <w:tr>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Risk appetite by category &amp; zero-tolerance boundaries</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How risks are identified &amp; checklist prompts</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1F3864"/>
                <w:sz w:val="18"/>
              </w:rPr>
              <w:t>Risk Identification Checklist (A-08)</w:t>
            </w:r>
          </w:p>
        </w:tc>
      </w:tr>
      <w:tr>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Quantified tolerance thresholds &amp; breach consequences</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How risks are decomposed &amp; failure modes scored</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1F3864"/>
                <w:sz w:val="18"/>
              </w:rPr>
              <w:t>AI FMEA (A-10); AI Risk Register (A-09)</w:t>
            </w:r>
          </w:p>
        </w:tc>
      </w:tr>
      <w:tr>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Escalation levels (L1–L4) &amp; unilateral suspension authority</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How risks are treated &amp; compensating controls verified</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1F3864"/>
                <w:sz w:val="18"/>
              </w:rPr>
              <w:t>Risk Treatment Plan (A-11)</w:t>
            </w:r>
          </w:p>
        </w:tc>
      </w:tr>
      <w:tr>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Conditions requiring emergency circuit-breaker trip / kill switch</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The enterprise governance operating model &amp; three-body design</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1F3864"/>
                <w:sz w:val="18"/>
              </w:rPr>
              <w:t>AI Governance Strategy Document (A-25)</w:t>
            </w:r>
          </w:p>
        </w:tc>
      </w:tr>
      <w:tr>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Acceptance, exception rules, &amp; standing waiver limits</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Committee composition, quorum, and voting thresholds</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1F3864"/>
                <w:sz w:val="18"/>
              </w:rPr>
              <w:t>AI Governance Committee Charter (A-26)</w:t>
            </w:r>
          </w:p>
        </w:tc>
      </w:tr>
      <w:tr>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Three Lines of Defense risk accountability &amp; validation roles</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Model inventory classification rules &amp; system tiering criteria</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1F3864"/>
                <w:sz w:val="18"/>
              </w:rPr>
              <w:t>AI Risk Classification (A-03); AI Model Registry (A-18)</w:t>
            </w:r>
          </w:p>
        </w:tc>
      </w:tr>
    </w:tbl>
    <w:p>
      <w:pPr>
        <w:spacing w:after="160"/>
      </w:pPr>
    </w:p>
    <w:p>
      <w:pPr>
        <w:spacing w:after="80"/>
      </w:pPr>
      <w:r>
        <w:rPr>
          <w:rFonts w:ascii="Calibri" w:hAnsi="Calibri"/>
          <w:b/>
          <w:color w:val="1F3864"/>
          <w:sz w:val="24"/>
        </w:rPr>
        <w:t>1.1. Governance Architecture: Three Lines of Defense (3LoD)</w:t>
      </w:r>
    </w:p>
    <w:p>
      <w:pPr>
        <w:spacing w:after="120"/>
      </w:pPr>
      <w:r>
        <w:rPr>
          <w:rFonts w:ascii="Calibri" w:hAnsi="Calibri"/>
          <w:sz w:val="20"/>
        </w:rPr>
        <w:t>In accordance with MAS TRM Chapter 3 and EU AI Act Article 9/17 governance requirements, AI risk accountability is partitioned across the Three Lines of Defense. A foundational governance principle of this policy is that no first-line developer or model owner may independently validate or attest to the adequacy of their own risk controls.</w:t>
      </w:r>
    </w:p>
    <w:tbl>
      <w:tblPr>
        <w:tblW w:type="auto" w:w="0"/>
        <w:jc w:val="center"/>
        <w:tblLook w:firstColumn="1" w:firstRow="1" w:lastColumn="0" w:lastRow="0" w:noHBand="0" w:noVBand="1" w:val="04A0"/>
      </w:tblPr>
      <w:tblGrid>
        <w:gridCol w:w="2592"/>
        <w:gridCol w:w="2592"/>
        <w:gridCol w:w="4752"/>
      </w:tblGrid>
      <w:tr>
        <w:tc>
          <w:tcPr>
            <w:tcW w:type="dxa" w:w="3312"/>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FFFFFF"/>
                <w:sz w:val="19"/>
              </w:rPr>
              <w:t>Defense Line</w:t>
            </w:r>
          </w:p>
        </w:tc>
        <w:tc>
          <w:tcPr>
            <w:tcW w:type="dxa" w:w="3312"/>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FFFFFF"/>
                <w:sz w:val="19"/>
              </w:rPr>
              <w:t>Accountable Entities</w:t>
            </w:r>
          </w:p>
        </w:tc>
        <w:tc>
          <w:tcPr>
            <w:tcW w:type="dxa" w:w="3312"/>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FFFFFF"/>
                <w:sz w:val="19"/>
              </w:rPr>
              <w:t>Governance Mandate &amp; Responsibilities</w:t>
            </w:r>
          </w:p>
        </w:tc>
      </w:tr>
      <w:tr>
        <w:tc>
          <w:tcPr>
            <w:tcW w:type="dxa" w:w="3312"/>
            <w:shd w:fill="F2F4F7"/>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1F3864"/>
                <w:sz w:val="18"/>
              </w:rPr>
              <w:t>First Line: Operational Risk Ownership</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000000"/>
                <w:sz w:val="18"/>
              </w:rPr>
              <w:t>Business Unit &amp; Engineering</w:t>
              <w:br/>
              <w:t>(Credit Underwriting Ops, MLOps, Core Banking Dev)</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Day-to-day risk ownership. Responsible for implementing baseline safety controls (tokenization, schema validation, prompt templates), executing developer unit tests, logging model telemetry, operating underwriter review workflows, and maintaining the System Model Card (A-19).</w:t>
            </w:r>
          </w:p>
        </w:tc>
      </w:tr>
      <w:tr>
        <w:tc>
          <w:tcPr>
            <w:tcW w:type="dxa" w:w="3312"/>
            <w:shd w:fill="F2F4F7"/>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1F3864"/>
                <w:sz w:val="18"/>
              </w:rPr>
              <w:t>Second Line: Independent Risk Oversight &amp; Challenge</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000000"/>
                <w:sz w:val="18"/>
              </w:rPr>
              <w:t>AI Governance Lead, Model Risk Management (MRM), Information Security, DPO</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Independent risk oversight, compliance challenge, and control policy setting. Responsible for maintaining this Policy (A-12) and Risk Register (A-09), establishing pre-declared fairness thresholds, conducting Algorithmic Impact Assessments (A-07), verifying calibration metrics (Brier score, PSI), and enforcing the four-eyes gate reviews.</w:t>
            </w:r>
          </w:p>
        </w:tc>
      </w:tr>
      <w:tr>
        <w:tc>
          <w:tcPr>
            <w:tcW w:type="dxa" w:w="3312"/>
            <w:shd w:fill="F2F4F7"/>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1F3864"/>
                <w:sz w:val="18"/>
              </w:rPr>
              <w:t>Third Line: Independent Assurance &amp; Validation</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000000"/>
                <w:sz w:val="18"/>
              </w:rPr>
              <w:t>Internal Audit &amp; Independent Model Validation Team (reporting to Board Audit Committee)</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Objective, non-overlapping assurance. Responsible for evaluating the effectiveness of the entire AI governance framework, conducting independent code and data audits, executing mandatory adversarial red-teaming for high-risk deployments, and reporting control deficiencies directly to the Board Risk Committee.</w:t>
            </w:r>
          </w:p>
        </w:tc>
      </w:tr>
    </w:tbl>
    <w:p>
      <w:pPr>
        <w:spacing w:after="160"/>
      </w:pPr>
    </w:p>
    <w:p>
      <w:pPr>
        <w:spacing w:after="80"/>
      </w:pPr>
      <w:r>
        <w:rPr>
          <w:rFonts w:ascii="Calibri" w:hAnsi="Calibri"/>
          <w:b/>
          <w:color w:val="1F3864"/>
          <w:sz w:val="24"/>
        </w:rPr>
        <w:t>1.2. Enterprise Risk Classification &amp; High-Risk Governance Tiering</w:t>
      </w:r>
    </w:p>
    <w:p>
      <w:pPr>
        <w:spacing w:after="120"/>
      </w:pPr>
      <w:r>
        <w:rPr>
          <w:rFonts w:ascii="Calibri" w:hAnsi="Calibri"/>
          <w:sz w:val="20"/>
        </w:rPr>
        <w:t>All AI systems across the enterprise must be recorded in the centralized AI System Inventory (A-02) and classified under the AI Risk Classification Register (A-03). Governance obligations, gate stringency, and testing intensity scale strictly by assigned risk tier:</w:t>
      </w:r>
    </w:p>
    <w:tbl>
      <w:tblPr>
        <w:tblW w:type="auto" w:w="0"/>
        <w:jc w:val="center"/>
        <w:tblLook w:firstColumn="1" w:firstRow="1" w:lastColumn="0" w:lastRow="0" w:noHBand="0" w:noVBand="1" w:val="04A0"/>
      </w:tblPr>
      <w:tblGrid>
        <w:gridCol w:w="2592"/>
        <w:gridCol w:w="3456"/>
        <w:gridCol w:w="3888"/>
      </w:tblGrid>
      <w:tr>
        <w:tc>
          <w:tcPr>
            <w:tcW w:type="dxa" w:w="3312"/>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FFFFFF"/>
                <w:sz w:val="19"/>
              </w:rPr>
              <w:t>Risk Tier</w:t>
            </w:r>
          </w:p>
        </w:tc>
        <w:tc>
          <w:tcPr>
            <w:tcW w:type="dxa" w:w="3312"/>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FFFFFF"/>
                <w:sz w:val="19"/>
              </w:rPr>
              <w:t>Classification Criteria &amp; Context</w:t>
            </w:r>
          </w:p>
        </w:tc>
        <w:tc>
          <w:tcPr>
            <w:tcW w:type="dxa" w:w="3312"/>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FFFFFF"/>
                <w:sz w:val="19"/>
              </w:rPr>
              <w:t>Mandatory Governance &amp; Validation Intensity</w:t>
            </w:r>
          </w:p>
        </w:tc>
      </w:tr>
      <w:tr>
        <w:tc>
          <w:tcPr>
            <w:tcW w:type="dxa" w:w="3312"/>
            <w:shd w:fill="FCE4D6"/>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C00000"/>
                <w:sz w:val="18"/>
              </w:rPr>
              <w:t>Tier 1: High-Risk (The CDA System)</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Substantive function evaluates natural persons for retail creditworthiness (EU AI Act Annex III Point 5b; MAS FEAT high-impact). Direct impact on access to capital, fundamental rights, and prudential soundness.</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Mandatory Stage Gates (Gates 1–6); zero-appetite governance; independent 2nd/3rd line model validation; mandatory pre-declared counterfactual fairness testing; human oversight with 3.5-min review floor; dual-key kill switch authority; 7-year immutable audit retention (A-41).</w:t>
            </w:r>
          </w:p>
        </w:tc>
      </w:tr>
      <w:tr>
        <w:tc>
          <w:tcPr>
            <w:tcW w:type="dxa" w:w="3312"/>
            <w:shd w:fill="FFF2CC"/>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000000"/>
                <w:sz w:val="18"/>
              </w:rPr>
              <w:t>Tier 2: Medium-Risk (Internal Assistive / Ops)</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Operational automation, document summarization, or policy retrieval that does not directly bind credit or legal decisions (e.g., Internal Policy Q&amp;A for underwriters SYS-002).</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Reduced prompt set inspection (D1–D2); standard MLOps drift telemetry; annual model risk review; standard quarterly change management approval.</w:t>
            </w:r>
          </w:p>
        </w:tc>
      </w:tr>
      <w:tr>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000000"/>
                <w:sz w:val="18"/>
              </w:rPr>
              <w:t>Tier 3: Low-Risk (Administrative / Productivity)</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Internal code generation, grammar assistants, or non-customer-facing workflow automation with no personal data access.</w:t>
            </w:r>
          </w:p>
        </w:tc>
        <w:tc>
          <w:tcPr>
            <w:tcW w:type="dxa" w:w="3312"/>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Self-attestation against Acceptable Use Policy (A-22); standard IT procurement and cyber hygiene; no mandatory AI Governance Committee gate sign-offs.</w:t>
            </w:r>
          </w:p>
        </w:tc>
      </w:tr>
    </w:tbl>
    <w:p>
      <w:pPr>
        <w:spacing w:after="200"/>
      </w:pPr>
    </w:p>
    <w:p>
      <w:pPr>
        <w:spacing w:after="80"/>
      </w:pPr>
      <w:r>
        <w:rPr>
          <w:rFonts w:ascii="Calibri" w:hAnsi="Calibri"/>
          <w:b/>
          <w:color w:val="1F3864"/>
          <w:sz w:val="28"/>
        </w:rPr>
        <w:t>2. Risk Appetite and Quantified Tolerance Thresholds</w:t>
      </w:r>
    </w:p>
    <w:p>
      <w:pPr>
        <w:spacing w:after="120"/>
      </w:pPr>
      <w:r>
        <w:rPr>
          <w:rFonts w:ascii="Calibri" w:hAnsi="Calibri"/>
          <w:sz w:val="20"/>
        </w:rPr>
        <w:t>Appetite is expressed as a formal policy position, not an abstract qualitative aspiration, because numbers alone invite gaming. Each position is paired with the exact quantified tolerance threshold that operationalises it, its underlying validation mandate, and its mandatory breach consequence:</w:t>
      </w:r>
    </w:p>
    <w:tbl>
      <w:tblPr>
        <w:tblW w:type="auto" w:w="0"/>
        <w:jc w:val="center"/>
        <w:tblLook w:firstColumn="1" w:firstRow="1" w:lastColumn="0" w:lastRow="0" w:noHBand="0" w:noVBand="1" w:val="04A0"/>
      </w:tblPr>
      <w:tblGrid>
        <w:gridCol w:w="2160"/>
        <w:gridCol w:w="2304"/>
        <w:gridCol w:w="2736"/>
        <w:gridCol w:w="2736"/>
      </w:tblGrid>
      <w:tr>
        <w:tc>
          <w:tcPr>
            <w:tcW w:type="dxa" w:w="2484"/>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FFFFFF"/>
                <w:sz w:val="19"/>
              </w:rPr>
              <w:t>Risk Category</w:t>
            </w:r>
          </w:p>
        </w:tc>
        <w:tc>
          <w:tcPr>
            <w:tcW w:type="dxa" w:w="2484"/>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FFFFFF"/>
                <w:sz w:val="19"/>
              </w:rPr>
              <w:t>Appetite Position</w:t>
            </w:r>
          </w:p>
        </w:tc>
        <w:tc>
          <w:tcPr>
            <w:tcW w:type="dxa" w:w="2484"/>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FFFFFF"/>
                <w:sz w:val="19"/>
              </w:rPr>
              <w:t>Quantified Tolerance Threshold</w:t>
            </w:r>
          </w:p>
        </w:tc>
        <w:tc>
          <w:tcPr>
            <w:tcW w:type="dxa" w:w="2484"/>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FFFFFF"/>
                <w:sz w:val="19"/>
              </w:rPr>
              <w:t>Mandatory Validation &amp; Breach Consequence</w:t>
            </w:r>
          </w:p>
        </w:tc>
      </w:tr>
      <w:tr>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000000"/>
                <w:sz w:val="18"/>
              </w:rPr>
              <w:t>Discriminatory Outcome</w:t>
            </w:r>
          </w:p>
        </w:tc>
        <w:tc>
          <w:tcPr>
            <w:tcW w:type="dxa" w:w="2484"/>
            <w:shd w:fill="FCE4D6"/>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C00000"/>
                <w:sz w:val="18"/>
              </w:rPr>
              <w:t>Zero Appetite (None). The organisation has no appetite for AI systems producing outcomes that differ on protected or proxy characteristics.</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Selection rate ratio (Disparate Impact Ratio) below 0.80 on any tested demographic attribute or geographic proxy cohort.</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Mandatory 2nd-Line Model Risk counterfactual pair validation. Deployment blocked; live system suspended pending root-cause remediation (demonstrated at Gate 2: DIR 0.67 -&gt; 0.89).</w:t>
            </w:r>
          </w:p>
        </w:tc>
      </w:tr>
      <w:tr>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000000"/>
                <w:sz w:val="18"/>
              </w:rPr>
              <w:t>Ungoverned Model Access</w:t>
            </w:r>
          </w:p>
        </w:tc>
        <w:tc>
          <w:tcPr>
            <w:tcW w:type="dxa" w:w="2484"/>
            <w:shd w:fill="FCE4D6"/>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C00000"/>
                <w:sz w:val="18"/>
              </w:rPr>
              <w:t>Zero Appetite (None). No code path or API invocation may reach a foundation model without the approved control set attached.</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Any occurrence (&gt;0) of an un-guardrailed model invocation across production or staging.</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Mandatory 3rd-Line / SecOps penetration verification. Immediate suspension under emergency kill switch; treated as P1 Security Incident (A-39 ENF-01).</w:t>
            </w:r>
          </w:p>
        </w:tc>
      </w:tr>
      <w:tr>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000000"/>
                <w:sz w:val="18"/>
              </w:rPr>
              <w:t>Personal Data Exposure</w:t>
            </w:r>
          </w:p>
        </w:tc>
        <w:tc>
          <w:tcPr>
            <w:tcW w:type="dxa" w:w="2484"/>
            <w:shd w:fill="FCE4D6"/>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C00000"/>
                <w:sz w:val="18"/>
              </w:rPr>
              <w:t>Zero Appetite (None). Direct personal identifiers and applicant PII must never enter persistent vector indices or output logs.</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Any confirmed exposure of PII (names, NRIC/FIN, phone, email, account numbers) in rationales or audit records.</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Mandatory automated regex/NER scanner audit. Immediate suspension; DPO and CISO engaged; statutory notification clocks assessed within 1 hour under MAS TRM and GDPR Art. 33.</w:t>
            </w:r>
          </w:p>
        </w:tc>
      </w:tr>
      <w:tr>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000000"/>
                <w:sz w:val="18"/>
              </w:rPr>
              <w:t>Ungrounded or Unsupported Rationale</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000000"/>
                <w:sz w:val="18"/>
              </w:rPr>
              <w:t>Low. Minor filtering is expected; unsupported output reaching a loan officer or customer is strictly tolerated only within narrow bounds.</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Grounding block rate above 8% of total invocations, or any citation resolving to a non-existent or conflicting policy clause.</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GDR-04 block-on-fail algorithm (&lt;0.75 threshold) enforced pre-output. Operational investigation; mandatory corpus index and grounding threshold review.</w:t>
            </w:r>
          </w:p>
        </w:tc>
      </w:tr>
      <w:tr>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000000"/>
                <w:sz w:val="18"/>
              </w:rPr>
              <w:t>Oversight Decay (Automation Bias)</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000000"/>
                <w:sz w:val="18"/>
              </w:rPr>
              <w:t>Low. Human-in-the-loop oversight must remain substantive and never deteriorate into administrative rubber-stamping.</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Underwriter override rate falling outside the 15%–40% operational band for two consecutive months, or median review duration &lt; 3.5 minutes.</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Escalated to AI Governance Committee as a systemic control failure, not an underwriter productivity variance; triggers sample re-adjudication.</w:t>
            </w:r>
          </w:p>
        </w:tc>
      </w:tr>
      <w:tr>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000000"/>
                <w:sz w:val="18"/>
              </w:rPr>
              <w:t>Model Drift After Version Change</w:t>
            </w:r>
          </w:p>
        </w:tc>
        <w:tc>
          <w:tcPr>
            <w:tcW w:type="dxa" w:w="2484"/>
            <w:shd w:fill="FCE4D6"/>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C00000"/>
                <w:sz w:val="18"/>
              </w:rPr>
              <w:t>Zero Appetite for Untested Change. Appetite for innovation is high; appetite for un-attested version cutover is zero.</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Any production traffic routed to an untested foundation model snapshot or un-evaluated scoring checkpoint.</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Model ARN pinned in invocation wrappers; automated CI/CD pipeline halts production routing until full 2nd-line evaluation harness completes (A-40).</w:t>
            </w:r>
          </w:p>
        </w:tc>
      </w:tr>
      <w:tr>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000000"/>
                <w:sz w:val="18"/>
              </w:rPr>
              <w:t>Cost &amp; Latency Inefficiency</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000000"/>
                <w:sz w:val="18"/>
              </w:rPr>
              <w:t>Moderate. Cost and compute latency are governed constraints but must never outrank a safety, fairness, or compliance control.</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Inference p95 latency exceeding 1,500ms for &gt; 3 consecutive calls, or standing charges accruing with no corresponding business value.</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RES-01 circuit breaker automatically trips, falling back to deterministic scoring with narration suppressed; architecture review at next sprint.</w:t>
            </w:r>
          </w:p>
        </w:tc>
      </w:tr>
      <w:tr>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000000"/>
                <w:sz w:val="18"/>
              </w:rPr>
              <w:t>Regulatory Uncertainty</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000000"/>
                <w:sz w:val="18"/>
              </w:rPr>
              <w:t>Moderate. The organisation will operate under evolving multi-jurisdictional standards rather than delay deployment for absolute certainty.</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Any statutory obligation whose precise jurisdictional applicability cannot be definitively resolved.</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Most conservative interpretation adopted (EU AI Act High-Risk standards applied globally across Singapore deployments); position documented in A-24 and reviewed quarterly.</w:t>
            </w:r>
          </w:p>
        </w:tc>
      </w:tr>
    </w:tbl>
    <w:p>
      <w:pPr>
        <w:spacing w:after="160"/>
      </w:pPr>
    </w:p>
    <w:p>
      <w:pPr>
        <w:spacing w:after="200"/>
      </w:pPr>
      <w:r>
        <w:rPr>
          <w:rFonts w:ascii="Calibri" w:hAnsi="Calibri"/>
          <w:i/>
          <w:color w:val="333333"/>
          <w:sz w:val="19"/>
        </w:rPr>
        <w:t>Appetite statements are only meaningful where the organisation has demonstrated it will act on them under operational friction. This framework has done so once, at Gate 2, where deployment was halted for 11 days on a Disparate Impact Ratio of 0.67 against a pre-declared 0.80 floor. That blocked record is retained deliberately above the release record in Lifecycle Gate Approval Log (A-28) to prove enforcement.</w:t>
      </w:r>
    </w:p>
    <w:p>
      <w:pPr>
        <w:spacing w:after="80"/>
      </w:pPr>
      <w:r>
        <w:rPr>
          <w:rFonts w:ascii="Calibri" w:hAnsi="Calibri"/>
          <w:b/>
          <w:color w:val="1F3864"/>
          <w:sz w:val="28"/>
        </w:rPr>
        <w:t>3. Escalation and Decision Authority</w:t>
      </w:r>
    </w:p>
    <w:tbl>
      <w:tblPr>
        <w:tblW w:type="auto" w:w="0"/>
        <w:jc w:val="center"/>
        <w:tblLook w:firstColumn="1" w:firstRow="1" w:lastColumn="0" w:lastRow="0" w:noHBand="0" w:noVBand="1" w:val="04A0"/>
      </w:tblPr>
      <w:tblGrid>
        <w:gridCol w:w="1728"/>
        <w:gridCol w:w="3600"/>
        <w:gridCol w:w="3024"/>
        <w:gridCol w:w="1584"/>
      </w:tblGrid>
      <w:tr>
        <w:tc>
          <w:tcPr>
            <w:tcW w:type="dxa" w:w="2484"/>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FFFFFF"/>
                <w:sz w:val="19"/>
              </w:rPr>
              <w:t>Escalation Level</w:t>
            </w:r>
          </w:p>
        </w:tc>
        <w:tc>
          <w:tcPr>
            <w:tcW w:type="dxa" w:w="2484"/>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FFFFFF"/>
                <w:sz w:val="19"/>
              </w:rPr>
              <w:t>Breach Condition &amp; Trigger</w:t>
            </w:r>
          </w:p>
        </w:tc>
        <w:tc>
          <w:tcPr>
            <w:tcW w:type="dxa" w:w="2484"/>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FFFFFF"/>
                <w:sz w:val="19"/>
              </w:rPr>
              <w:t>Decision &amp; Suspension Authority</w:t>
            </w:r>
          </w:p>
        </w:tc>
        <w:tc>
          <w:tcPr>
            <w:tcW w:type="dxa" w:w="2484"/>
            <w:shd w:fill="1F386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FFFFFF"/>
                <w:sz w:val="19"/>
              </w:rPr>
              <w:t>Mandatory Response Time</w:t>
            </w:r>
          </w:p>
        </w:tc>
      </w:tr>
      <w:tr>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000000"/>
                <w:sz w:val="18"/>
              </w:rPr>
              <w:t>L1</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Single tolerance threshold breached with no customer, financial, or regulatory impact.</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000000"/>
                <w:sz w:val="18"/>
              </w:rPr>
              <w:t>AI Governance Lead</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val="0"/>
                <w:i w:val="0"/>
                <w:color w:val="000000"/>
                <w:sz w:val="18"/>
              </w:rPr>
              <w:t>5 working days</w:t>
            </w:r>
          </w:p>
        </w:tc>
      </w:tr>
      <w:tr>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000000"/>
                <w:sz w:val="18"/>
              </w:rPr>
              <w:t>L2</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Two or more thresholds breached concurrently, or a fairness metric approaching tolerance (&lt; 0.82).</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000000"/>
                <w:sz w:val="18"/>
              </w:rPr>
              <w:t>AI Governance Lead escalating to AI Governance Committee (AIGC)</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val="0"/>
                <w:i w:val="0"/>
                <w:color w:val="000000"/>
                <w:sz w:val="18"/>
              </w:rPr>
              <w:t>2 working days</w:t>
            </w:r>
          </w:p>
        </w:tc>
      </w:tr>
      <w:tr>
        <w:tc>
          <w:tcPr>
            <w:tcW w:type="dxa" w:w="2484"/>
            <w:shd w:fill="FCE4D6"/>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C00000"/>
                <w:sz w:val="18"/>
              </w:rPr>
              <w:t>L3</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Zero-appetite condition met — ungoverned model access, confirmed PII in output, or uncalibrated drift.</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000000"/>
                <w:sz w:val="18"/>
              </w:rPr>
              <w:t>Named operational role (Security Operations On-Call / Model Risk Lead) may suspend immediately; AIGC notified within 1 hour</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val="0"/>
                <w:i w:val="0"/>
                <w:color w:val="000000"/>
                <w:sz w:val="18"/>
              </w:rPr>
              <w:t>Immediate (&lt; 4 minutes to effect)</w:t>
            </w:r>
          </w:p>
        </w:tc>
      </w:tr>
      <w:tr>
        <w:tc>
          <w:tcPr>
            <w:tcW w:type="dxa" w:w="2484"/>
            <w:shd w:fill="FCE4D6"/>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i w:val="0"/>
                <w:color w:val="C00000"/>
                <w:sz w:val="18"/>
              </w:rPr>
              <w:t>L4</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val="0"/>
                <w:i w:val="0"/>
                <w:color w:val="000000"/>
                <w:sz w:val="18"/>
              </w:rPr>
              <w:t>Confirmed discriminatory outcome affecting real applicants, statutory regulatory breach, or severe model compromise.</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left"/>
            </w:pPr>
            <w:r>
              <w:rPr>
                <w:rFonts w:ascii="Calibri" w:hAnsi="Calibri"/>
                <w:b/>
                <w:i w:val="0"/>
                <w:color w:val="000000"/>
                <w:sz w:val="18"/>
              </w:rPr>
              <w:t>AI Governance Committee, Chief Risk Officer (CRO), CISO, General Counsel, and Accountable Business Owner</w:t>
            </w:r>
          </w:p>
        </w:tc>
        <w:tc>
          <w:tcPr>
            <w:tcW w:type="dxa" w:w="2484"/>
            <w:tcBorders>
              <w:top w:val="single" w:sz="4" w:space="0" w:color="BFBFBF"/>
              <w:left w:val="single" w:sz="4" w:space="0" w:color="BFBFBF"/>
              <w:bottom w:val="single" w:sz="4" w:space="0" w:color="BFBFBF"/>
              <w:right w:val="single" w:sz="4" w:space="0" w:color="BFBFBF"/>
            </w:tcBorders>
            <w:tcMar>
              <w:top w:w="120" w:type="dxa"/>
              <w:bottom w:w="120" w:type="dxa"/>
              <w:left w:w="160" w:type="dxa"/>
              <w:right w:w="160" w:type="dxa"/>
            </w:tcMar>
          </w:tcPr>
          <w:p>
            <w:pPr>
              <w:jc w:val="center"/>
            </w:pPr>
            <w:r>
              <w:rPr>
                <w:rFonts w:ascii="Calibri" w:hAnsi="Calibri"/>
                <w:b w:val="0"/>
                <w:i w:val="0"/>
                <w:color w:val="000000"/>
                <w:sz w:val="18"/>
              </w:rPr>
              <w:t>Immediate; system permanently withdrawn</w:t>
            </w:r>
          </w:p>
        </w:tc>
      </w:tr>
    </w:tbl>
    <w:p>
      <w:pPr>
        <w:spacing w:after="160"/>
      </w:pPr>
    </w:p>
    <w:p>
      <w:pPr>
        <w:spacing w:after="200"/>
      </w:pPr>
      <w:r>
        <w:rPr>
          <w:rFonts w:ascii="Calibri" w:hAnsi="Calibri"/>
          <w:b/>
          <w:color w:val="9C0006"/>
          <w:sz w:val="19"/>
        </w:rPr>
        <w:t>⚠  L3 authority is deliberately split from committee decision. A framework in which only a committee may act means nobody can act quickly when a control fails; one with unlimited unilateral authority means a system is withdrawn on a false positive and the business stops trusting governance. The split — immediate suspension by a named operational on-call role on pre-defined telemetry signals, with mandatory 1-hour executive notification and automatic 24-hour review — is the only workable position. This kill-switch provision was tested pre-go-live at 4 minutes to suspend and 3 minutes to reverse without committee latency.</w:t>
      </w:r>
    </w:p>
    <w:p>
      <w:pPr>
        <w:spacing w:after="80"/>
      </w:pPr>
      <w:r>
        <w:rPr>
          <w:rFonts w:ascii="Calibri" w:hAnsi="Calibri"/>
          <w:b/>
          <w:color w:val="1F3864"/>
          <w:sz w:val="28"/>
        </w:rPr>
        <w:t>4. Risk Acceptance and Exception Governance</w:t>
      </w:r>
    </w:p>
    <w:p>
      <w:pPr>
        <w:spacing w:after="80"/>
      </w:pPr>
      <w:r>
        <w:rPr>
          <w:rFonts w:ascii="Calibri" w:hAnsi="Calibri"/>
          <w:b/>
          <w:color w:val="1F3864"/>
          <w:sz w:val="20"/>
        </w:rPr>
        <w:t xml:space="preserve">• Individual Named-Role Acceptance Only: </w:t>
      </w:r>
      <w:r>
        <w:rPr>
          <w:rFonts w:ascii="Calibri" w:hAnsi="Calibri"/>
          <w:sz w:val="20"/>
        </w:rPr>
        <w:t>Acceptance requires a named accepting executive role (e.g., AI Governance Lead for R-12). A residual risk accepted by a committee collectively is a risk nobody owns. Every accepted risk must explicitly record the individual role, the review expiry date, and the weaker compensating control relied upon in the Risk Register (A-09).</w:t>
      </w:r>
    </w:p>
    <w:p>
      <w:pPr>
        <w:spacing w:after="80"/>
      </w:pPr>
      <w:r>
        <w:rPr>
          <w:rFonts w:ascii="Calibri" w:hAnsi="Calibri"/>
          <w:b/>
          <w:color w:val="1F3864"/>
          <w:sz w:val="20"/>
        </w:rPr>
        <w:t xml:space="preserve">• Zero-Appetite Risks Cannot Be Accepted: </w:t>
      </w:r>
      <w:r>
        <w:rPr>
          <w:rFonts w:ascii="Calibri" w:hAnsi="Calibri"/>
          <w:sz w:val="20"/>
        </w:rPr>
        <w:t>No exception or waiver process exists for the four zero-appetite categories in §2 (Discriminatory Outcome, Ungoverned Invocation, Personal Data Exposure, Untested Model Traffic). Any formal request to accept a zero-appetite breach is classified as an L4 incident by definition.</w:t>
      </w:r>
    </w:p>
    <w:p>
      <w:pPr>
        <w:spacing w:after="80"/>
      </w:pPr>
      <w:r>
        <w:rPr>
          <w:rFonts w:ascii="Calibri" w:hAnsi="Calibri"/>
          <w:b/>
          <w:color w:val="1F3864"/>
          <w:sz w:val="20"/>
        </w:rPr>
        <w:t xml:space="preserve">• Mandatory Independent Validation for Exceptions: </w:t>
      </w:r>
      <w:r>
        <w:rPr>
          <w:rFonts w:ascii="Calibri" w:hAnsi="Calibri"/>
          <w:sz w:val="20"/>
        </w:rPr>
        <w:t>Any proposed compensating control supporting a High-Risk system exception must be independently evaluated and verified by Second-Line Model Risk Management and Third-Line Internal Audit prior to granting an operational waiver.</w:t>
      </w:r>
    </w:p>
    <w:p>
      <w:pPr>
        <w:spacing w:after="80"/>
      </w:pPr>
      <w:r>
        <w:rPr>
          <w:rFonts w:ascii="Calibri" w:hAnsi="Calibri"/>
          <w:b/>
          <w:color w:val="1F3864"/>
          <w:sz w:val="20"/>
        </w:rPr>
        <w:t xml:space="preserve">• Time-Bound Exceptions: </w:t>
      </w:r>
      <w:r>
        <w:rPr>
          <w:rFonts w:ascii="Calibri" w:hAnsi="Calibri"/>
          <w:sz w:val="20"/>
        </w:rPr>
        <w:t>No exception or waiver is granted indefinitely. Every exception carries a maximum 90-day expiry date. Expiry without explicit renewal means the exception lapses immediately, halting production routing.</w:t>
      </w:r>
    </w:p>
    <w:p>
      <w:pPr>
        <w:spacing w:after="80"/>
      </w:pPr>
      <w:r>
        <w:rPr>
          <w:rFonts w:ascii="Calibri" w:hAnsi="Calibri"/>
          <w:b/>
          <w:color w:val="1F3864"/>
          <w:sz w:val="20"/>
        </w:rPr>
        <w:t xml:space="preserve">• Two-Renewal Structural Defect Rule: </w:t>
      </w:r>
      <w:r>
        <w:rPr>
          <w:rFonts w:ascii="Calibri" w:hAnsi="Calibri"/>
          <w:sz w:val="20"/>
        </w:rPr>
        <w:t>An operational exception that is renewed twice is classified as a fundamental design defect. A third renewal request triggers mandatory engineering redesign of the underlying system. A control that requires standing exceptions is not a control.</w:t>
      </w:r>
    </w:p>
    <w:p>
      <w:pPr>
        <w:spacing w:after="120"/>
      </w:pPr>
    </w:p>
    <w:p>
      <w:pPr>
        <w:spacing w:after="80"/>
      </w:pPr>
      <w:r>
        <w:rPr>
          <w:rFonts w:ascii="Calibri" w:hAnsi="Calibri"/>
          <w:b/>
          <w:color w:val="1F3864"/>
          <w:sz w:val="28"/>
        </w:rPr>
        <w:t>5. Review Cadence &amp; Ratification</w:t>
      </w:r>
    </w:p>
    <w:p>
      <w:pPr>
        <w:spacing w:after="240"/>
      </w:pPr>
      <w:r>
        <w:rPr>
          <w:rFonts w:ascii="Calibri" w:hAnsi="Calibri"/>
          <w:sz w:val="20"/>
        </w:rPr>
        <w:t>This Policy is subject to formal review annually, and immediately upon the occurrence of any of the following mandatory triggers: (a) a material change to the statutory regulatory position (e.g., EU AI Act delegated acts or revised MAS TRM guidelines), (b) any breach of a zero-appetite tolerance threshold in production, (c) the addition of a materially different AI model architecture or expanded use case to the enterprise inventory, or (d) a third renewal request of any operational exception. The risk appetite positions in §2 may be amended only by the AI Governance Committee with formal ratification by the Executive Committee (ExCo) and Board Risk Committee.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