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Data Lineage and Provenance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44546A"/>
          <w:sz w:val="23"/>
          <w:szCs w:val="23"/>
        </w:rPr>
        <w:t xml:space="preserve">Credit Decisioning Assistant (CDA) — Artefact A-14, v1.1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74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Artefact ID</w:t>
            </w:r>
          </w:p>
        </w:tc>
        <w:tc>
          <w:tcPr>
            <w:tcW w:type="dxa" w:w="7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A-14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Title</w:t>
            </w:r>
          </w:p>
        </w:tc>
        <w:tc>
          <w:tcPr>
            <w:tcW w:type="dxa" w:w="7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 Lineage and Provenance — Credit Decisioning Assistant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System governed</w:t>
            </w:r>
          </w:p>
        </w:tc>
        <w:tc>
          <w:tcPr>
            <w:tcW w:type="dxa" w:w="7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Credit Decisioning Assistant (CDA) — retrieval-grounded foundation-model assistant supporting retail credit decisions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7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 Governance Lead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Approving authority</w:t>
            </w:r>
          </w:p>
        </w:tc>
        <w:tc>
          <w:tcPr>
            <w:tcW w:type="dxa" w:w="7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 Protection Officer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7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Internal — AI governance framework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Regulatory basis</w:t>
            </w:r>
          </w:p>
        </w:tc>
        <w:tc>
          <w:tcPr>
            <w:tcW w:type="dxa" w:w="7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EU AI Act Art.10 (data and data governance) and Art.12; GDPR Art.5(1)(c) and Art.30; Singapore PDPA Protection and Retention Limitation Obligations; ISO/IEC 42001 Cl.8</w:t>
            </w:r>
          </w:p>
        </w:tc>
      </w:tr>
      <w:tr>
        <w:tc>
          <w:tcPr>
            <w:tcW w:type="dxa" w:w="2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Review cycle</w:t>
            </w:r>
          </w:p>
        </w:tc>
        <w:tc>
          <w:tcPr>
            <w:tcW w:type="dxa" w:w="7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Annual, or on any event trigger defined in Post_Deployment_Monitoring_and_Review_Policy §5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Nature of this document</w:t>
            </w:r>
          </w:p>
        </w:tc>
        <w:tc>
          <w:tcPr>
            <w:tcW w:type="dxa" w:w="7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Governance design artefact produced as part of a worked example. Figures, dates and named decisions are illustrative of how the control operates, not a record of a production deployment</w:t>
            </w:r>
          </w:p>
        </w:tc>
      </w:tr>
    </w:tbl>
    <w:p>
      <w:pPr>
        <w:spacing w:after="120" w:before="3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Document control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19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Reviewer</w:t>
            </w:r>
          </w:p>
        </w:tc>
        <w:tc>
          <w:tcPr>
            <w:tcW w:type="dxa" w:w="18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Approver</w:t>
            </w:r>
          </w:p>
        </w:tc>
        <w:tc>
          <w:tcPr>
            <w:tcW w:type="dxa" w:w="1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Change summary</w:t>
            </w:r>
          </w:p>
        </w:tc>
      </w:tr>
      <w:tr>
        <w:tc>
          <w:tcPr>
            <w:tcW w:type="dxa" w:w="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1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2026-02-12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 Governance Lead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DPO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Superseded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Corpus sources and ingestion record</w:t>
            </w:r>
          </w:p>
        </w:tc>
      </w:tr>
      <w:tr>
        <w:tc>
          <w:tcPr>
            <w:tcW w:type="dxa" w:w="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1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2026-09-10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 Governance Lead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DPO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Pending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Draft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Metadata schema added, recording that postal district was present and has been removed. Converted from plain text to controlled document format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1. Why version 1.1 exists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Version 1.0 recorded which documents entered the corpus and when. It did not record what metadata travelled with them. That omission mattered: the proxy-attribute finding that blocked deployment originated in corpus metadata, and the root cause was traceable only from the testing log rather than from the lineage record where it belonged.</w:t>
      </w:r>
    </w:p>
    <w:p>
      <w:pPr>
        <w:pBdr>
          <w:left w:val="single" w:color="1F3864" w:sz="18" w:space="8"/>
        </w:pBdr>
        <w:spacing w:after="200" w:before="120"/>
        <w:ind w:left="200"/>
      </w:pPr>
      <w:r>
        <w:rPr>
          <w:rFonts w:ascii="Calibri" w:cs="Calibri" w:eastAsia="Calibri" w:hAnsi="Calibri"/>
          <w:i/>
          <w:iCs/>
          <w:color w:val="1F3864"/>
          <w:sz w:val="22"/>
          <w:szCs w:val="22"/>
        </w:rPr>
        <w:t xml:space="preserve">Lineage that describes content but not the fields attached to it describes half the input surface. Retrieval metadata is an input, not document housekeeping — it determines which passages the model sees.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/>
          <w:iCs/>
          <w:sz w:val="21"/>
          <w:szCs w:val="21"/>
        </w:rPr>
        <w:t xml:space="preserve">This version was also converted from plain text to a controlled document. The substantive reason is that the metadata schema in Section 3 cannot be held legibly in plain text; the governance reason is that an artefact carrying a root-cause record should carry version control and an approval line like every other artefact in the framework.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2. Corpus sources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29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Document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Origin</w:t>
            </w:r>
          </w:p>
        </w:tc>
        <w:tc>
          <w:tcPr>
            <w:tcW w:type="dxa" w:w="2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6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Version at go-live</w:t>
            </w:r>
          </w:p>
        </w:tc>
        <w:tc>
          <w:tcPr>
            <w:tcW w:type="dxa" w:w="10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Personal data</w:t>
            </w:r>
          </w:p>
        </w:tc>
      </w:tr>
      <w:tr>
        <w:tc>
          <w:tcPr>
            <w:tcW w:type="dxa" w:w="1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SRC-01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Retail Lending Policy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Internal — Credit Policy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 of Credit Policy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2026-01 edition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SRC-02</w:t>
            </w:r>
          </w:p>
        </w:tc>
        <w:tc>
          <w:tcPr>
            <w:tcW w:type="dxa" w:w="2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Affordability Assessment Criteria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Internal — Credit Policy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 of Credit Policy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2026-01 edition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SRC-03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Adverse Action Guidance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Internal — Compliance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 of Compliance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2025-11 edition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SRC-04</w:t>
            </w:r>
          </w:p>
        </w:tc>
        <w:tc>
          <w:tcPr>
            <w:tcW w:type="dxa" w:w="2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Product Terms Summary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Internal — Product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Head of Retail Lending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2026-02 edition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No applicant data is in the corpus. Applicant data enters at query time from the originating application and is never persisted into the retrieval index. The distinction is load-bearing: the corpus is policy, not people.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3. Metadata schema — the field that caused the finding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This section is the substantive addition at v1.1.</w:t>
      </w:r>
    </w:p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3.1 Current schema, post-remediation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34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17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Retained</w:t>
            </w:r>
          </w:p>
        </w:tc>
        <w:tc>
          <w:tcPr>
            <w:tcW w:type="dxa" w:w="25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source_id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Traceability to the originating document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Yes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source_version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Binds a citation to a specific policy edition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Yes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clause_ref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Enables citation to a specific passage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Yes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 — required for explainability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product_type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Scopes retrieval to the relevant product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Yes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Assessed — product is a legitimate decision factor</w:t>
            </w:r>
          </w:p>
        </w:tc>
      </w:tr>
      <w:tr>
        <w:tc>
          <w:tcPr>
            <w:tcW w:type="dxa" w:w="1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effective_date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Excludes superseded policy from retrieval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Yes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postal_district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Regional policy variation (stated retrospectively — no purpose was recorded at design time)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REMOVED 2026-03-02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Proxy for ethnicity and income band — see §3.2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3.2 Removed field — postal_district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Question</w:t>
            </w:r>
          </w:p>
        </w:tc>
        <w:tc>
          <w:tcPr>
            <w:tcW w:type="dxa" w:w="73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Answer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What was it</w:t>
            </w:r>
          </w:p>
        </w:tc>
        <w:tc>
          <w:tcPr>
            <w:tcW w:type="dxa" w:w="73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postal district code attached to policy chunks, intended to support regional policy variation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Why it was added</w:t>
            </w:r>
          </w:p>
        </w:tc>
        <w:tc>
          <w:tcPr>
            <w:tcW w:type="dxa" w:w="73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Carried over from an earlier document management schema. No purpose was recorded at design time — this is the governance failure, not the field itself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What it did</w:t>
            </w:r>
          </w:p>
        </w:tc>
        <w:tc>
          <w:tcPr>
            <w:tcW w:type="dxa" w:w="73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Influenced which policy passages were retrieved for otherwise identical applicants. Adverse-action guidance was returned 2.3 times more often for the lowest-income segments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How it was found</w:t>
            </w:r>
          </w:p>
        </w:tc>
        <w:tc>
          <w:tcPr>
            <w:tcW w:type="dxa" w:w="73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Counterfactual pair testing returned a selection rate ratio of 0.67 against a threshold of 0.80 declared before testing. The retrieval-chunk differential located the cause; the outcome metric only showed one existed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Why it is a proxy</w:t>
            </w:r>
          </w:p>
        </w:tc>
        <w:tc>
          <w:tcPr>
            <w:tcW w:type="dxa" w:w="73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Residential postal district correlates strongly with ethnicity and income band in the deployment jurisdiction. It was never a supplied feature, which is precisely why feature-level review would not have caught it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Removed</w:t>
            </w:r>
          </w:p>
        </w:tc>
        <w:tc>
          <w:tcPr>
            <w:tcW w:type="dxa" w:w="73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2026-03-02, as part of the R-11 remediation</w:t>
            </w:r>
          </w:p>
        </w:tc>
      </w:tr>
      <w:tr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Reintroduction control</w:t>
            </w:r>
          </w:p>
        </w:tc>
        <w:tc>
          <w:tcPr>
            <w:tcW w:type="dxa" w:w="73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Address is in the GDR-03 redaction entity set, so reintroduction upstream cannot silently restore the exposure. The prompt template also states explicitly that geography must not inform the recommendation</w:t>
            </w:r>
          </w:p>
        </w:tc>
      </w:tr>
      <w:tr>
        <w:tc>
          <w:tcPr>
            <w:tcW w:type="dxa" w:w="2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Verification</w:t>
            </w:r>
          </w:p>
        </w:tc>
        <w:tc>
          <w:tcPr>
            <w:tcW w:type="dxa" w:w="73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Monthly corpus integrity check confirms the field remains absent</w:t>
            </w:r>
          </w:p>
        </w:tc>
      </w:tr>
    </w:tbl>
    <w:p>
      <w:pPr>
        <w:pBdr>
          <w:left w:val="single" w:color="BF8F00" w:sz="18" w:space="8"/>
        </w:pBdr>
        <w:shd w:fill="FFF2CC" w:val="clear"/>
        <w:spacing w:after="200" w:before="80"/>
        <w:ind w:left="200"/>
      </w:pPr>
      <w:r>
        <w:rPr>
          <w:rFonts w:ascii="Calibri" w:cs="Calibri" w:eastAsia="Calibri" w:hAnsi="Calibri"/>
          <w:i/>
          <w:iCs/>
          <w:color w:val="7F6000"/>
          <w:sz w:val="20"/>
          <w:szCs w:val="20"/>
        </w:rPr>
        <w:t xml:space="preserve">⚠  The governance lesson, recorded here rather than only in the risk register. Data minimisation was not satisfied at first design. A field was carried into the corpus because it existed in a predecessor schema, and the question that would have caught it — what is this field for, and what can be inferred from it — was not asked until testing had already found the effect. The remediation is procedural rather than technical: that question is now a mandatory written prompt at decision point D2.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4. Transformation chain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6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52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Governance control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Source documents exported from the authoring systems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Version pinned and recorded at export; later edits do not propagate silently</w:t>
            </w:r>
          </w:p>
        </w:tc>
      </w:tr>
      <w:tr>
        <w:tc>
          <w:tcPr>
            <w:tcW w:type="dxa" w:w="7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Documents chunked for retrieval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Chunk boundaries respect clause structure so a citation resolves to a passage, not a fragment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Metadata attached to each chunk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Purpose declaration and inference assessment per field — see §3 and §6</w:t>
            </w:r>
          </w:p>
        </w:tc>
      </w:tr>
      <w:tr>
        <w:tc>
          <w:tcPr>
            <w:tcW w:type="dxa" w:w="7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Chunks embedded using MDL-002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Embedding model version pinned; a change re-indexes everything and invalidates grounding assurance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Vectors written to the retrieval index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Residency enforced; index version recorded</w:t>
            </w:r>
          </w:p>
        </w:tc>
      </w:tr>
      <w:tr>
        <w:tc>
          <w:tcPr>
            <w:tcW w:type="dxa" w:w="7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Grounding and fairness testing against the indexed corpus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Assurance is bound to this corpus version and no other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5. Ingestion record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tcW w:type="dxa" w:w="13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3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8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Corpus version</w:t>
            </w:r>
          </w:p>
        </w:tc>
        <w:tc>
          <w:tcPr>
            <w:tcW w:type="dxa" w:w="22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Post-ingestion outcome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ING-001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2026-02-12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SRC-01 to SRC-04, initial full ingest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CORP-2026.02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Fairness testing FAILED at 0.67. D3 progression blocked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ING-002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2026-03-02</w:t>
            </w:r>
          </w:p>
        </w:tc>
        <w:tc>
          <w:tcPr>
            <w:tcW w:type="dxa" w:w="3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Full re-ingest, postal_district removed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CORP-2026.03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Fairness re-test PASSED at 0.89; grounding re-verified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No ingestion since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CORP-2026.03 current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Monthly integrity check confirms no unlogged change</w:t>
            </w:r>
          </w:p>
        </w:tc>
      </w:tr>
    </w:tbl>
    <w:p>
      <w:pPr>
        <w:spacing w:after="160" w:line="276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Grounding and fairness assurance is bound to CORP-2026.03. Any change to any source document, or to the metadata schema, invalidates that assurance until re-tested.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6. Controls on future corpus change</w:t>
      </w:r>
    </w:p>
    <w:p>
      <w:pPr>
        <w:spacing w:after="16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Added at v1.1 as a direct consequence of §3.2.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Purpose declaration per metadata field. No field enters the schema without a recorded purpose.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Inference assessment per field, answering one question in writing: what can be derived from this field that we do not intend to use? This is prompt Q2.4 in Risk_Identification_Checklist (A-08).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Proxy assessment against known proxy attributes for the deployment jurisdiction — postal district, employer, school, and branch of application are all candidates in a Singapore retail credit context — not only against protected characteristics directly.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Schema change is a testing trigger. Any addition, removal, or change of meaning requires fairness and grounding re-test before the corpus becomes queryable.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Version pinning. Source documents are pinned at export; an edit in the authoring system does not propagate but requires a new ingestion job with its own testing cycle.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sz w:val="21"/>
          <w:szCs w:val="21"/>
        </w:rPr>
        <w:t xml:space="preserve">Monthly integrity check. The live corpus and schema are compared against the version recorded at go-live. Any unlogged difference is a finding, not a correction.</w:t>
      </w:r>
    </w:p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7. Retention and disposal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Record</w:t>
            </w:r>
          </w:p>
        </w:tc>
        <w:tc>
          <w:tcPr>
            <w:tcW w:type="dxa" w:w="22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Retention</w:t>
            </w:r>
          </w:p>
        </w:tc>
        <w:tc>
          <w:tcPr>
            <w:tcW w:type="dxa" w:w="44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Basis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Corpus versions and schema history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Operational life + 7 years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Reconstructs what the system could retrieve at any point — needed to defend any past decision</w:t>
            </w:r>
          </w:p>
        </w:tc>
      </w:tr>
      <w:tr>
        <w:tc>
          <w:tcPr>
            <w:tcW w:type="dxa" w:w="2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Ingestion job records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Operational life + 7 years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Evidence of what was indexed and when</w:t>
            </w:r>
          </w:p>
        </w:tc>
      </w:tr>
      <w:tr>
        <w:tc>
          <w:tcPr>
            <w:tcW w:type="dxa" w:w="29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Superseded corpus versions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Retained, not deleted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 decision made under CORP-2026.02 cannot be defended without the corpus it was made against</w:t>
            </w:r>
          </w:p>
        </w:tc>
      </w:tr>
      <w:tr>
        <w:tc>
          <w:tcPr>
            <w:tcW w:type="dxa" w:w="29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Source documents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Per existing document retention schedule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Owned by the authoring function, not by this framework</w:t>
            </w:r>
          </w:p>
        </w:tc>
      </w:tr>
    </w:tbl>
    <w:p>
      <w:pPr>
        <w:pStyle w:val="Heading1"/>
        <w:spacing w:after="160" w:before="320"/>
      </w:pPr>
      <w:r>
        <w:rPr>
          <w:b/>
          <w:bCs/>
          <w:color w:val="1F3864"/>
          <w:sz w:val="30"/>
          <w:szCs w:val="30"/>
        </w:rPr>
        <w:t xml:space="preserve">8. Cross-references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4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Topic</w:t>
            </w:r>
          </w:p>
        </w:tc>
        <w:tc>
          <w:tcPr>
            <w:tcW w:type="dxa" w:w="5100"/>
            <w:shd w:fill="1F386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Artefact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Fairness test that found the metadata issue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>Algorithmic_Explainability_and_Bias_Testing_Report (A-15)</w:t>
            </w:r>
          </w:p>
        </w:tc>
      </w:tr>
      <w:tr>
        <w:tc>
          <w:tcPr>
            <w:tcW w:type="dxa" w:w="4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Risk entry and treatment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AI_Risk_Register (A-09) R-11; Risk_Treatment_Plan (A-11)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Failure mode FM-01 and its detection path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AI_FMEA (A-10)</w:t>
            </w:r>
          </w:p>
        </w:tc>
      </w:tr>
      <w:tr>
        <w:tc>
          <w:tcPr>
            <w:tcW w:type="dxa" w:w="4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 protection assessment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>PANOPTIC_Privacy_Assessment_and_DPIA (A-35)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Metadata governance rules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Data_Governance_and_Privacy_Policy_for_AI (A-13) §4</w:t>
            </w:r>
          </w:p>
        </w:tc>
      </w:tr>
      <w:tr>
        <w:tc>
          <w:tcPr>
            <w:tcW w:type="dxa" w:w="4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Corpus change trigger rules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Model_Change_and_Deprecation_Log (A-40)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Redaction control preventing reintroduction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GenAI_Policy_Compliance_Tracker (A-24), GDR-03</w:t>
            </w:r>
          </w:p>
        </w:tc>
      </w:tr>
      <w:tr>
        <w:tc>
          <w:tcPr>
            <w:tcW w:type="dxa" w:w="44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Gate decision blocking and releasing deployment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Gate_Approval_and_Signoff_Log (A-28)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Mandatory inference prompt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Risk_Identification_Checklist (A-08) Q2.4</w:t>
            </w:r>
          </w:p>
        </w:tc>
      </w:tr>
    </w:tbl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2026-09-10T15:39:32.827Z</dcterms:created>
  <dcterms:modified xsi:type="dcterms:W3CDTF">2026-09-10T15:39:32.828Z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