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8D9D" w14:textId="77777777" w:rsidR="009A378B" w:rsidRDefault="00000000">
      <w:pPr>
        <w:spacing w:after="40"/>
      </w:pPr>
      <w:r>
        <w:rPr>
          <w:rFonts w:ascii="Calibri" w:hAnsi="Calibri"/>
          <w:b/>
          <w:color w:val="1F3864"/>
          <w:sz w:val="40"/>
        </w:rPr>
        <w:t>AI Vendor Assessment Plan (incl. Build vs Buy)</w:t>
      </w:r>
    </w:p>
    <w:p w14:paraId="0B21984E" w14:textId="77777777" w:rsidR="009A378B" w:rsidRDefault="00000000">
      <w:pPr>
        <w:spacing w:after="240"/>
      </w:pPr>
      <w:r>
        <w:rPr>
          <w:rFonts w:ascii="Calibri" w:hAnsi="Calibri"/>
          <w:i/>
          <w:color w:val="595959"/>
          <w:sz w:val="23"/>
        </w:rPr>
        <w:t>Credit Decisioning Assistant (CDA) Framework — Artefact A-16, v2.1</w:t>
      </w:r>
    </w:p>
    <w:tbl>
      <w:tblPr>
        <w:tblW w:w="0" w:type="auto"/>
        <w:jc w:val="center"/>
        <w:tblLook w:val="04A0" w:firstRow="1" w:lastRow="0" w:firstColumn="1" w:lastColumn="0" w:noHBand="0" w:noVBand="1"/>
      </w:tblPr>
      <w:tblGrid>
        <w:gridCol w:w="4968"/>
        <w:gridCol w:w="4968"/>
      </w:tblGrid>
      <w:tr w:rsidR="009A378B" w14:paraId="5C69A8B7"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2DC9AC4" w14:textId="77777777" w:rsidR="009A378B"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42A0E0D" w14:textId="77777777" w:rsidR="009A378B" w:rsidRDefault="00000000">
            <w:r>
              <w:rPr>
                <w:rFonts w:ascii="Calibri" w:hAnsi="Calibri"/>
                <w:b/>
                <w:color w:val="FFFFFF"/>
                <w:sz w:val="20"/>
              </w:rPr>
              <w:t>Detail</w:t>
            </w:r>
          </w:p>
        </w:tc>
      </w:tr>
      <w:tr w:rsidR="009A378B" w14:paraId="67CD4BE0"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C7A63D3" w14:textId="77777777" w:rsidR="009A378B"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546C58" w14:textId="77777777" w:rsidR="009A378B" w:rsidRDefault="00000000">
            <w:r>
              <w:rPr>
                <w:rFonts w:ascii="Calibri" w:hAnsi="Calibri"/>
                <w:color w:val="000000"/>
                <w:sz w:val="19"/>
              </w:rPr>
              <w:t>A-16</w:t>
            </w:r>
          </w:p>
        </w:tc>
      </w:tr>
      <w:tr w:rsidR="009A378B" w14:paraId="047BB11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9E4BD65" w14:textId="77777777" w:rsidR="009A378B"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42B08B" w14:textId="77777777" w:rsidR="009A378B" w:rsidRDefault="00000000">
            <w:r>
              <w:rPr>
                <w:rFonts w:ascii="Calibri" w:hAnsi="Calibri"/>
                <w:color w:val="000000"/>
                <w:sz w:val="19"/>
              </w:rPr>
              <w:t>AI Vendor Assessment Plan (incl. Build vs Buy)</w:t>
            </w:r>
          </w:p>
        </w:tc>
      </w:tr>
      <w:tr w:rsidR="009A378B" w14:paraId="41B2D5F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844BA96" w14:textId="77777777" w:rsidR="009A378B"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B6C511" w14:textId="77777777" w:rsidR="009A378B"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9A378B" w14:paraId="097D054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4C77F29" w14:textId="77777777" w:rsidR="009A378B"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66093B" w14:textId="77777777" w:rsidR="009A378B" w:rsidRDefault="00000000">
            <w:r>
              <w:rPr>
                <w:rFonts w:ascii="Calibri" w:hAnsi="Calibri"/>
                <w:color w:val="000000"/>
                <w:sz w:val="19"/>
              </w:rPr>
              <w:t>AI Governance Lead with AI Centre of Excellence (AI-CoE)</w:t>
            </w:r>
          </w:p>
        </w:tc>
      </w:tr>
      <w:tr w:rsidR="009A378B" w14:paraId="6B9BCD69"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C3F9350" w14:textId="77777777" w:rsidR="009A378B"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0331D6" w14:textId="77777777" w:rsidR="009A378B" w:rsidRDefault="00000000">
            <w:r>
              <w:rPr>
                <w:rFonts w:ascii="Calibri" w:hAnsi="Calibri"/>
                <w:color w:val="000000"/>
                <w:sz w:val="19"/>
              </w:rPr>
              <w:t>AI Governance Committee (AIGC), ratified by Board Risk Committee</w:t>
            </w:r>
          </w:p>
        </w:tc>
      </w:tr>
      <w:tr w:rsidR="009A378B" w14:paraId="4C1A56E1"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32419D9" w14:textId="77777777" w:rsidR="009A378B"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007878" w14:textId="77777777" w:rsidR="009A378B" w:rsidRDefault="00000000">
            <w:r>
              <w:rPr>
                <w:rFonts w:ascii="Calibri" w:hAnsi="Calibri"/>
                <w:color w:val="000000"/>
                <w:sz w:val="19"/>
              </w:rPr>
              <w:t>Internal — Enterprise AI Governance &amp; Third-Party Risk Management</w:t>
            </w:r>
          </w:p>
        </w:tc>
      </w:tr>
      <w:tr w:rsidR="009A378B" w14:paraId="7DF2C9BB"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983D3ED" w14:textId="77777777" w:rsidR="009A378B"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65EAF0" w14:textId="77777777" w:rsidR="009A378B" w:rsidRDefault="00000000">
            <w:r>
              <w:rPr>
                <w:rFonts w:ascii="Calibri" w:hAnsi="Calibri"/>
                <w:color w:val="000000"/>
                <w:sz w:val="19"/>
              </w:rPr>
              <w:t>EU AI Act Art. 25 &amp; 26 (Provider-Deployer Boundary), Art. 53 (GPAI Provider Obligations); MAS TRM Ch. 5 (Third-Party Risk); MAS Outsourcing Guidelines; ISO/IEC 42001 Cl. 8.3</w:t>
            </w:r>
          </w:p>
        </w:tc>
      </w:tr>
      <w:tr w:rsidR="009A378B" w14:paraId="2A9CB95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6321540" w14:textId="77777777" w:rsidR="009A378B"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661E14" w14:textId="77777777" w:rsidR="009A378B" w:rsidRDefault="00000000">
            <w:r>
              <w:rPr>
                <w:rFonts w:ascii="Calibri" w:hAnsi="Calibri"/>
                <w:color w:val="000000"/>
                <w:sz w:val="19"/>
              </w:rPr>
              <w:t>Annual, or immediately upon any model deprecation notice or event trigger defined in Post-Deployment Monitoring Policy (A-30) §5</w:t>
            </w:r>
          </w:p>
        </w:tc>
      </w:tr>
      <w:tr w:rsidR="009A378B" w14:paraId="69D6EF8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97EEA70" w14:textId="77777777" w:rsidR="009A378B"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F4AE7D" w14:textId="77777777" w:rsidR="009A378B" w:rsidRDefault="00000000">
            <w:r>
              <w:rPr>
                <w:rFonts w:ascii="Calibri" w:hAnsi="Calibri"/>
                <w:color w:val="000000"/>
                <w:sz w:val="19"/>
              </w:rPr>
              <w:t>Governance design artefact produced as part of a worked portfolio example. Figures, dates, and named decisions demonstrate third-party risk evaluation behavior and are internally consistent with Artifacts A-01 through A-44.</w:t>
            </w:r>
          </w:p>
        </w:tc>
      </w:tr>
    </w:tbl>
    <w:p w14:paraId="75AF6966" w14:textId="77777777" w:rsidR="009A378B" w:rsidRDefault="009A378B">
      <w:pPr>
        <w:spacing w:after="160"/>
      </w:pPr>
    </w:p>
    <w:p w14:paraId="656B7513" w14:textId="77777777" w:rsidR="009A378B"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9A378B" w14:paraId="6DB9D561" w14:textId="77777777">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6774007" w14:textId="77777777" w:rsidR="009A378B" w:rsidRDefault="00000000">
            <w:pPr>
              <w:jc w:val="center"/>
            </w:pPr>
            <w:r>
              <w:rPr>
                <w:rFonts w:ascii="Calibri" w:hAnsi="Calibri"/>
                <w:b/>
                <w:color w:val="FFFFFF"/>
                <w:sz w:val="19"/>
              </w:rPr>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7E03C7D" w14:textId="77777777" w:rsidR="009A378B"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07D491F" w14:textId="77777777" w:rsidR="009A378B"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16B0F91" w14:textId="77777777" w:rsidR="009A378B"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340F755" w14:textId="77777777" w:rsidR="009A378B"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E5D4090" w14:textId="77777777" w:rsidR="009A378B" w:rsidRDefault="00000000">
            <w:pPr>
              <w:jc w:val="center"/>
            </w:pPr>
            <w:r>
              <w:rPr>
                <w:rFonts w:ascii="Calibri" w:hAnsi="Calibri"/>
                <w:b/>
                <w:color w:val="FFFFFF"/>
                <w:sz w:val="19"/>
              </w:rPr>
              <w:t>Status</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A828F22" w14:textId="77777777" w:rsidR="009A378B" w:rsidRDefault="00000000">
            <w:pPr>
              <w:jc w:val="center"/>
            </w:pPr>
            <w:r>
              <w:rPr>
                <w:rFonts w:ascii="Calibri" w:hAnsi="Calibri"/>
                <w:b/>
                <w:color w:val="FFFFFF"/>
                <w:sz w:val="19"/>
              </w:rPr>
              <w:t>Change Summary</w:t>
            </w:r>
          </w:p>
        </w:tc>
      </w:tr>
      <w:tr w:rsidR="009A378B" w14:paraId="4CE1990E"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3BD5C4" w14:textId="77777777" w:rsidR="009A378B" w:rsidRDefault="00000000">
            <w:pPr>
              <w:jc w:val="center"/>
            </w:pPr>
            <w:r>
              <w:rPr>
                <w:rFonts w:ascii="Calibri" w:hAnsi="Calibri"/>
                <w:b/>
                <w:color w:val="000000"/>
                <w:sz w:val="18"/>
              </w:rPr>
              <w:lastRenderedPageBreak/>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84667E" w14:textId="77777777" w:rsidR="009A378B" w:rsidRDefault="00000000">
            <w:pPr>
              <w:jc w:val="center"/>
            </w:pPr>
            <w:r>
              <w:rPr>
                <w:rFonts w:ascii="Calibri" w:hAnsi="Calibri"/>
                <w:color w:val="000000"/>
                <w:sz w:val="18"/>
              </w:rPr>
              <w:t>2026-02-01</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5CC2A5" w14:textId="77777777" w:rsidR="009A378B"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A409BC" w14:textId="77777777" w:rsidR="009A378B" w:rsidRDefault="00000000">
            <w:r>
              <w:rPr>
                <w:rFonts w:ascii="Calibri" w:hAnsi="Calibri"/>
                <w:color w:val="000000"/>
                <w:sz w:val="18"/>
              </w:rPr>
              <w:t>Procurement</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164A51" w14:textId="77777777" w:rsidR="009A378B" w:rsidRDefault="00000000">
            <w:r>
              <w:rPr>
                <w:rFonts w:ascii="Calibri" w:hAnsi="Calibri"/>
                <w:color w:val="000000"/>
                <w:sz w:val="18"/>
              </w:rPr>
              <w:t>AIGC</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2DB0D0" w14:textId="77777777" w:rsidR="009A378B"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E4D58F" w14:textId="77777777" w:rsidR="009A378B" w:rsidRDefault="00000000">
            <w:r>
              <w:rPr>
                <w:rFonts w:ascii="Calibri" w:hAnsi="Calibri"/>
                <w:color w:val="000000"/>
                <w:sz w:val="18"/>
              </w:rPr>
              <w:t>Vendor assessment only.</w:t>
            </w:r>
          </w:p>
        </w:tc>
      </w:tr>
      <w:tr w:rsidR="009A378B" w14:paraId="5665D9EB" w14:textId="77777777">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B97A38" w14:textId="77777777" w:rsidR="009A378B" w:rsidRDefault="00000000">
            <w:pPr>
              <w:jc w:val="center"/>
            </w:pPr>
            <w:r>
              <w:rPr>
                <w:rFonts w:ascii="Calibri" w:hAnsi="Calibri"/>
                <w:b/>
                <w:color w:val="000000"/>
                <w:sz w:val="18"/>
              </w:rPr>
              <w:t>v2.0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925870" w14:textId="77777777" w:rsidR="009A378B" w:rsidRDefault="00000000">
            <w:pPr>
              <w:jc w:val="center"/>
            </w:pPr>
            <w:r>
              <w:rPr>
                <w:rFonts w:ascii="Calibri" w:hAnsi="Calibri"/>
                <w:color w:val="000000"/>
                <w:sz w:val="18"/>
              </w:rPr>
              <w:t>2026-09-13</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578CF8" w14:textId="77777777" w:rsidR="009A378B"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C7B620" w14:textId="77777777" w:rsidR="009A378B" w:rsidRDefault="00000000">
            <w:r>
              <w:rPr>
                <w:rFonts w:ascii="Calibri" w:hAnsi="Calibri"/>
                <w:color w:val="000000"/>
                <w:sz w:val="18"/>
              </w:rPr>
              <w:t>Procurement; Principal Architect</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A2ADA8" w14:textId="77777777" w:rsidR="009A378B" w:rsidRDefault="00000000">
            <w:r>
              <w:rPr>
                <w:rFonts w:ascii="Calibri" w:hAnsi="Calibri"/>
                <w:color w:val="000000"/>
                <w:sz w:val="18"/>
              </w:rPr>
              <w:t>AIGC</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8ED0389" w14:textId="77777777" w:rsidR="009A378B" w:rsidRDefault="00000000">
            <w:pPr>
              <w:jc w:val="center"/>
            </w:pPr>
            <w:r>
              <w:rPr>
                <w:rFonts w:ascii="Calibri" w:hAnsi="Calibri"/>
                <w:color w:val="000000"/>
                <w:sz w:val="18"/>
              </w:rPr>
              <w:t>Superseded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AD821F" w14:textId="77777777" w:rsidR="009A378B" w:rsidRDefault="00000000">
            <w:r>
              <w:rPr>
                <w:rFonts w:ascii="Calibri" w:hAnsi="Calibri"/>
                <w:color w:val="000000"/>
                <w:sz w:val="18"/>
              </w:rPr>
              <w:t>Recreated. Build vs Buy evaluation incorporated; fine-tune versus retrieve decision recorded; scoring layer build decision added.</w:t>
            </w:r>
          </w:p>
        </w:tc>
      </w:tr>
    </w:tbl>
    <w:p w14:paraId="47BBFB7A" w14:textId="77777777" w:rsidR="009A378B" w:rsidRDefault="009A378B"/>
    <w:p w14:paraId="11AB51D6" w14:textId="77777777" w:rsidR="009A378B" w:rsidRDefault="00000000">
      <w:pPr>
        <w:spacing w:after="80"/>
      </w:pPr>
      <w:r>
        <w:rPr>
          <w:rFonts w:ascii="Calibri" w:hAnsi="Calibri"/>
          <w:b/>
          <w:color w:val="1F3864"/>
          <w:sz w:val="28"/>
        </w:rPr>
        <w:t>1. Two Sourcing Decisions, Not One</w:t>
      </w:r>
    </w:p>
    <w:p w14:paraId="746F4266" w14:textId="77777777" w:rsidR="009A378B" w:rsidRDefault="00000000">
      <w:pPr>
        <w:spacing w:after="80"/>
      </w:pPr>
      <w:r>
        <w:rPr>
          <w:rFonts w:ascii="Calibri" w:hAnsi="Calibri"/>
          <w:sz w:val="20"/>
        </w:rPr>
        <w:t>The hybrid architecture required the organisation to answer the build-versus-buy question twice, and it answered differently each time. Recording both decisions together is what makes the reasoning legible — a plan showing only the vendor assessment implies the whole system was bought, which is not true and understates the model risk position.</w:t>
      </w:r>
    </w:p>
    <w:tbl>
      <w:tblPr>
        <w:tblW w:w="0" w:type="auto"/>
        <w:jc w:val="center"/>
        <w:tblLook w:val="04A0" w:firstRow="1" w:lastRow="0" w:firstColumn="1" w:lastColumn="0" w:noHBand="0" w:noVBand="1"/>
      </w:tblPr>
      <w:tblGrid>
        <w:gridCol w:w="3312"/>
        <w:gridCol w:w="3312"/>
        <w:gridCol w:w="3312"/>
      </w:tblGrid>
      <w:tr w:rsidR="009A378B" w14:paraId="039641DA"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B534414" w14:textId="77777777" w:rsidR="009A378B" w:rsidRDefault="00000000">
            <w:pPr>
              <w:jc w:val="center"/>
            </w:pPr>
            <w:r>
              <w:rPr>
                <w:rFonts w:ascii="Calibri" w:hAnsi="Calibri"/>
                <w:b/>
                <w:color w:val="FFFFFF"/>
                <w:sz w:val="19"/>
              </w:rPr>
              <w:t>Architectural Layer</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467AB5F" w14:textId="77777777" w:rsidR="009A378B" w:rsidRDefault="00000000">
            <w:pPr>
              <w:jc w:val="center"/>
            </w:pPr>
            <w:r>
              <w:rPr>
                <w:rFonts w:ascii="Calibri" w:hAnsi="Calibri"/>
                <w:b/>
                <w:color w:val="FFFFFF"/>
                <w:sz w:val="19"/>
              </w:rPr>
              <w:t>Sourcing Decision</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826624F" w14:textId="77777777" w:rsidR="009A378B" w:rsidRDefault="00000000">
            <w:r>
              <w:rPr>
                <w:rFonts w:ascii="Calibri" w:hAnsi="Calibri"/>
                <w:b/>
                <w:color w:val="FFFFFF"/>
                <w:sz w:val="19"/>
              </w:rPr>
              <w:t>Strategic &amp; Governance Basis</w:t>
            </w:r>
          </w:p>
        </w:tc>
      </w:tr>
      <w:tr w:rsidR="009A378B" w14:paraId="0B631890"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68F0CF" w14:textId="77777777" w:rsidR="009A378B" w:rsidRDefault="00000000">
            <w:r>
              <w:rPr>
                <w:rFonts w:ascii="Calibri" w:hAnsi="Calibri"/>
                <w:b/>
                <w:color w:val="1F3864"/>
                <w:sz w:val="18"/>
              </w:rPr>
              <w:t>Scoring Layer</w:t>
            </w:r>
          </w:p>
        </w:tc>
        <w:tc>
          <w:tcPr>
            <w:tcW w:w="3312" w:type="dxa"/>
            <w:tcBorders>
              <w:top w:val="single" w:sz="4" w:space="0" w:color="BFBFBF"/>
              <w:left w:val="single" w:sz="4" w:space="0" w:color="BFBFBF"/>
              <w:bottom w:val="single" w:sz="4" w:space="0" w:color="BFBFBF"/>
              <w:right w:val="single" w:sz="4" w:space="0" w:color="BFBFBF"/>
            </w:tcBorders>
            <w:shd w:val="clear" w:color="auto" w:fill="E2EFDA"/>
            <w:tcMar>
              <w:top w:w="120" w:type="dxa"/>
              <w:left w:w="160" w:type="dxa"/>
              <w:bottom w:w="120" w:type="dxa"/>
              <w:right w:w="160" w:type="dxa"/>
            </w:tcMar>
          </w:tcPr>
          <w:p w14:paraId="72EAF9E8" w14:textId="77777777" w:rsidR="009A378B" w:rsidRDefault="00000000">
            <w:pPr>
              <w:jc w:val="center"/>
            </w:pPr>
            <w:r>
              <w:rPr>
                <w:rFonts w:ascii="Calibri" w:hAnsi="Calibri"/>
                <w:b/>
                <w:color w:val="000000"/>
                <w:sz w:val="18"/>
              </w:rPr>
              <w:t>BUILD in-house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8228C6" w14:textId="77777777" w:rsidR="009A378B" w:rsidRDefault="00000000">
            <w:r>
              <w:rPr>
                <w:rFonts w:ascii="Calibri" w:hAnsi="Calibri"/>
                <w:color w:val="000000"/>
                <w:sz w:val="18"/>
              </w:rPr>
              <w:t>The bank holds the historical retail credit outcome data, the model class (gradient-boosted decision trees) is well understood, and the existing model risk framework already governs trained credit models. Buying a scoring model would introduce a vendor into the layer that actually makes the credit decision, where explainability (TreeSHAP) and validation obligations are heaviest.</w:t>
            </w:r>
          </w:p>
        </w:tc>
      </w:tr>
      <w:tr w:rsidR="009A378B" w14:paraId="1458D48A"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B1FD9D" w14:textId="77777777" w:rsidR="009A378B" w:rsidRDefault="00000000">
            <w:r>
              <w:rPr>
                <w:rFonts w:ascii="Calibri" w:hAnsi="Calibri"/>
                <w:b/>
                <w:color w:val="1F3864"/>
                <w:sz w:val="18"/>
              </w:rPr>
              <w:t>Narration Layer</w:t>
            </w:r>
          </w:p>
        </w:tc>
        <w:tc>
          <w:tcPr>
            <w:tcW w:w="3312" w:type="dxa"/>
            <w:tcBorders>
              <w:top w:val="single" w:sz="4" w:space="0" w:color="BFBFBF"/>
              <w:left w:val="single" w:sz="4" w:space="0" w:color="BFBFBF"/>
              <w:bottom w:val="single" w:sz="4" w:space="0" w:color="BFBFBF"/>
              <w:right w:val="single" w:sz="4" w:space="0" w:color="BFBFBF"/>
            </w:tcBorders>
            <w:shd w:val="clear" w:color="auto" w:fill="FFF2CC"/>
            <w:tcMar>
              <w:top w:w="120" w:type="dxa"/>
              <w:left w:w="160" w:type="dxa"/>
              <w:bottom w:w="120" w:type="dxa"/>
              <w:right w:w="160" w:type="dxa"/>
            </w:tcMar>
          </w:tcPr>
          <w:p w14:paraId="0E5B5DCF" w14:textId="77777777" w:rsidR="009A378B" w:rsidRDefault="00000000">
            <w:pPr>
              <w:jc w:val="center"/>
            </w:pPr>
            <w:r>
              <w:rPr>
                <w:rFonts w:ascii="Calibri" w:hAnsi="Calibri"/>
                <w:b/>
                <w:color w:val="000000"/>
                <w:sz w:val="18"/>
              </w:rPr>
              <w:t>BUY — managed enterprise platform (AWS Bedrock)</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2A85B8" w14:textId="77777777" w:rsidR="009A378B" w:rsidRDefault="00000000">
            <w:r>
              <w:rPr>
                <w:rFonts w:ascii="Calibri" w:hAnsi="Calibri"/>
                <w:color w:val="000000"/>
                <w:sz w:val="18"/>
              </w:rPr>
              <w:t>Building a foundation model was never realistic for an institution of this size. The real question was self-host versus managed platform, and the deciding factor was that the platform-level control layer applies uniformly regardless of which provider's model sits behind it.</w:t>
            </w:r>
          </w:p>
        </w:tc>
      </w:tr>
      <w:tr w:rsidR="009A378B" w14:paraId="4C192B1D"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DE6CCE" w14:textId="77777777" w:rsidR="009A378B" w:rsidRDefault="00000000">
            <w:r>
              <w:rPr>
                <w:rFonts w:ascii="Calibri" w:hAnsi="Calibri"/>
                <w:b/>
                <w:color w:val="1F3864"/>
                <w:sz w:val="18"/>
              </w:rPr>
              <w:t>Orchestration Layer</w:t>
            </w:r>
          </w:p>
        </w:tc>
        <w:tc>
          <w:tcPr>
            <w:tcW w:w="3312" w:type="dxa"/>
            <w:tcBorders>
              <w:top w:val="single" w:sz="4" w:space="0" w:color="BFBFBF"/>
              <w:left w:val="single" w:sz="4" w:space="0" w:color="BFBFBF"/>
              <w:bottom w:val="single" w:sz="4" w:space="0" w:color="BFBFBF"/>
              <w:right w:val="single" w:sz="4" w:space="0" w:color="BFBFBF"/>
            </w:tcBorders>
            <w:shd w:val="clear" w:color="auto" w:fill="E2EFDA"/>
            <w:tcMar>
              <w:top w:w="120" w:type="dxa"/>
              <w:left w:w="160" w:type="dxa"/>
              <w:bottom w:w="120" w:type="dxa"/>
              <w:right w:w="160" w:type="dxa"/>
            </w:tcMar>
          </w:tcPr>
          <w:p w14:paraId="2600D6EE" w14:textId="77777777" w:rsidR="009A378B" w:rsidRDefault="00000000">
            <w:pPr>
              <w:jc w:val="center"/>
            </w:pPr>
            <w:r>
              <w:rPr>
                <w:rFonts w:ascii="Calibri" w:hAnsi="Calibri"/>
                <w:b/>
                <w:color w:val="000000"/>
                <w:sz w:val="18"/>
              </w:rPr>
              <w:t>BUILD in-house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4235DE" w14:textId="77777777" w:rsidR="009A378B" w:rsidRDefault="00000000">
            <w:r>
              <w:rPr>
                <w:rFonts w:ascii="Calibri" w:hAnsi="Calibri"/>
                <w:color w:val="000000"/>
                <w:sz w:val="18"/>
              </w:rPr>
              <w:t xml:space="preserve">Deterministic control flow with no agentic or autonomous surface. Standard application engineering </w:t>
            </w:r>
            <w:r>
              <w:rPr>
                <w:rFonts w:ascii="Calibri" w:hAnsi="Calibri"/>
                <w:color w:val="000000"/>
                <w:sz w:val="18"/>
              </w:rPr>
              <w:lastRenderedPageBreak/>
              <w:t>utilizing AWS Step Functions with IAM boundary locks.</w:t>
            </w:r>
          </w:p>
        </w:tc>
      </w:tr>
    </w:tbl>
    <w:p w14:paraId="7C97CA7A" w14:textId="77777777" w:rsidR="009A378B" w:rsidRDefault="009A378B">
      <w:pPr>
        <w:spacing w:after="120"/>
      </w:pPr>
    </w:p>
    <w:p w14:paraId="663FAD71" w14:textId="77777777" w:rsidR="009A378B" w:rsidRDefault="00000000">
      <w:r>
        <w:rPr>
          <w:rFonts w:ascii="Calibri" w:hAnsi="Calibri"/>
          <w:i/>
          <w:sz w:val="19"/>
        </w:rPr>
        <w:t>The layer the organisation kept in-house is the layer that makes the decision. That is not a cost decision — it is where the statutory deployer obligations bite hardest under EU AI Act Annex III(5)(b) and GDPR Article 22, and outsourcing it would have transferred a control the bank cannot legally transfer.</w:t>
      </w:r>
    </w:p>
    <w:p w14:paraId="33EDC375" w14:textId="77777777" w:rsidR="009A378B" w:rsidRDefault="00000000">
      <w:pPr>
        <w:spacing w:after="80"/>
      </w:pPr>
      <w:r>
        <w:rPr>
          <w:rFonts w:ascii="Calibri" w:hAnsi="Calibri"/>
          <w:b/>
          <w:color w:val="1F3864"/>
          <w:sz w:val="28"/>
        </w:rPr>
        <w:t>2. Build vs Buy — Narration Layer Evaluation &amp; Thresholds</w:t>
      </w:r>
    </w:p>
    <w:tbl>
      <w:tblPr>
        <w:tblW w:w="0" w:type="auto"/>
        <w:jc w:val="center"/>
        <w:tblLook w:val="04A0" w:firstRow="1" w:lastRow="0" w:firstColumn="1" w:lastColumn="0" w:noHBand="0" w:noVBand="1"/>
      </w:tblPr>
      <w:tblGrid>
        <w:gridCol w:w="3312"/>
        <w:gridCol w:w="3312"/>
        <w:gridCol w:w="3312"/>
      </w:tblGrid>
      <w:tr w:rsidR="009A378B" w14:paraId="49711B26"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3703F90" w14:textId="77777777" w:rsidR="009A378B" w:rsidRDefault="00000000">
            <w:pPr>
              <w:jc w:val="center"/>
            </w:pPr>
            <w:r>
              <w:rPr>
                <w:rFonts w:ascii="Calibri" w:hAnsi="Calibri"/>
                <w:b/>
                <w:color w:val="FFFFFF"/>
                <w:sz w:val="19"/>
              </w:rPr>
              <w:t>Deployment Option</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4434BE8" w14:textId="77777777" w:rsidR="009A378B" w:rsidRDefault="00000000">
            <w:pPr>
              <w:jc w:val="center"/>
            </w:pPr>
            <w:r>
              <w:rPr>
                <w:rFonts w:ascii="Calibri" w:hAnsi="Calibri"/>
                <w:b/>
                <w:color w:val="FFFFFF"/>
                <w:sz w:val="19"/>
              </w:rPr>
              <w:t>Assessment Outcome</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4C3DFE4" w14:textId="77777777" w:rsidR="009A378B" w:rsidRDefault="00000000">
            <w:r>
              <w:rPr>
                <w:rFonts w:ascii="Calibri" w:hAnsi="Calibri"/>
                <w:b/>
                <w:color w:val="FFFFFF"/>
                <w:sz w:val="19"/>
              </w:rPr>
              <w:t>Strategic Evaluation &amp; Trade-off Rationale</w:t>
            </w:r>
          </w:p>
        </w:tc>
      </w:tr>
      <w:tr w:rsidR="009A378B" w14:paraId="1DEC1A3F"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2B5B2C" w14:textId="77777777" w:rsidR="009A378B" w:rsidRDefault="00000000">
            <w:r>
              <w:rPr>
                <w:rFonts w:ascii="Calibri" w:hAnsi="Calibri"/>
                <w:b/>
                <w:color w:val="1F3864"/>
                <w:sz w:val="18"/>
              </w:rPr>
              <w:t>Build a foundation model</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555CB6" w14:textId="77777777" w:rsidR="009A378B" w:rsidRDefault="00000000">
            <w:pPr>
              <w:jc w:val="center"/>
            </w:pPr>
            <w:r>
              <w:rPr>
                <w:rFonts w:ascii="Calibri" w:hAnsi="Calibri"/>
                <w:b/>
                <w:color w:val="000000"/>
                <w:sz w:val="18"/>
              </w:rPr>
              <w:t>Not seriously considered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D26EA9" w14:textId="77777777" w:rsidR="009A378B" w:rsidRDefault="00000000">
            <w:r>
              <w:rPr>
                <w:rFonts w:ascii="Calibri" w:hAnsi="Calibri"/>
                <w:color w:val="000000"/>
                <w:sz w:val="18"/>
              </w:rPr>
              <w:t>Cost, GPU infrastructure, engineering capability, and time-to-value all prohibitive for an institution of this scale. Recorded for completeness because an evaluation that considers only two options is incomplete.</w:t>
            </w:r>
          </w:p>
        </w:tc>
      </w:tr>
      <w:tr w:rsidR="009A378B" w14:paraId="13013181"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B7A175" w14:textId="77777777" w:rsidR="009A378B" w:rsidRDefault="00000000">
            <w:r>
              <w:rPr>
                <w:rFonts w:ascii="Calibri" w:hAnsi="Calibri"/>
                <w:b/>
                <w:color w:val="1F3864"/>
                <w:sz w:val="18"/>
              </w:rPr>
              <w:t>Self-host an open-weight model</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B9AC50" w14:textId="77777777" w:rsidR="009A378B" w:rsidRDefault="00000000">
            <w:pPr>
              <w:jc w:val="center"/>
            </w:pPr>
            <w:r>
              <w:rPr>
                <w:rFonts w:ascii="Calibri" w:hAnsi="Calibri"/>
                <w:b/>
                <w:color w:val="000000"/>
                <w:sz w:val="18"/>
              </w:rPr>
              <w:t>Seriously considered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147CB7" w14:textId="77777777" w:rsidR="009A378B" w:rsidRDefault="00000000">
            <w:r>
              <w:rPr>
                <w:rFonts w:ascii="Calibri" w:hAnsi="Calibri"/>
                <w:color w:val="000000"/>
                <w:sz w:val="18"/>
              </w:rPr>
              <w:t>Offered deeper weight inspectability and zero per-token cost at volume, against a substantial operational burden — infrastructure provisioning, auto-scaling, OS/model patching, and an internal guardrail layer the bank would have to engineer and assure itself. At pilot scale (~870k applicants), the operational overhead outweighed the benefits.</w:t>
            </w:r>
          </w:p>
        </w:tc>
      </w:tr>
      <w:tr w:rsidR="009A378B" w14:paraId="78970605"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FD4DE1B" w14:textId="77777777" w:rsidR="009A378B" w:rsidRDefault="00000000">
            <w:r>
              <w:rPr>
                <w:rFonts w:ascii="Calibri" w:hAnsi="Calibri"/>
                <w:b/>
                <w:color w:val="1F3864"/>
                <w:sz w:val="18"/>
              </w:rPr>
              <w:t>Buy — managed enterprise platform (AWS Bedrock)</w:t>
            </w:r>
          </w:p>
        </w:tc>
        <w:tc>
          <w:tcPr>
            <w:tcW w:w="3312" w:type="dxa"/>
            <w:tcBorders>
              <w:top w:val="single" w:sz="4" w:space="0" w:color="BFBFBF"/>
              <w:left w:val="single" w:sz="4" w:space="0" w:color="BFBFBF"/>
              <w:bottom w:val="single" w:sz="4" w:space="0" w:color="BFBFBF"/>
              <w:right w:val="single" w:sz="4" w:space="0" w:color="BFBFBF"/>
            </w:tcBorders>
            <w:shd w:val="clear" w:color="auto" w:fill="D9EAD3"/>
            <w:tcMar>
              <w:top w:w="120" w:type="dxa"/>
              <w:left w:w="160" w:type="dxa"/>
              <w:bottom w:w="120" w:type="dxa"/>
              <w:right w:w="160" w:type="dxa"/>
            </w:tcMar>
          </w:tcPr>
          <w:p w14:paraId="14598D26" w14:textId="77777777" w:rsidR="009A378B" w:rsidRDefault="00000000">
            <w:pPr>
              <w:jc w:val="center"/>
            </w:pPr>
            <w:r>
              <w:rPr>
                <w:rFonts w:ascii="Calibri" w:hAnsi="Calibri"/>
                <w:b/>
                <w:color w:val="000000"/>
                <w:sz w:val="18"/>
              </w:rPr>
              <w:t>SELECTED</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88AE64" w14:textId="77777777" w:rsidR="009A378B" w:rsidRDefault="00000000">
            <w:r>
              <w:rPr>
                <w:rFonts w:ascii="Calibri" w:hAnsi="Calibri"/>
                <w:color w:val="000000"/>
                <w:sz w:val="18"/>
              </w:rPr>
              <w:t>Platform control layer applies uniformly across providers; contractual and technical training exclusion with strict Singapore ap-southeast-1 residency; zero inference infrastructure to maintain.</w:t>
            </w:r>
          </w:p>
        </w:tc>
      </w:tr>
    </w:tbl>
    <w:p w14:paraId="54CEE9E6" w14:textId="77777777" w:rsidR="009A378B" w:rsidRDefault="009A378B">
      <w:pPr>
        <w:spacing w:after="120"/>
      </w:pPr>
    </w:p>
    <w:p w14:paraId="20EFEE9A" w14:textId="77777777" w:rsidR="009A378B" w:rsidRDefault="00000000">
      <w:pPr>
        <w:spacing w:after="60"/>
      </w:pPr>
      <w:r>
        <w:rPr>
          <w:rFonts w:ascii="Calibri" w:hAnsi="Calibri"/>
          <w:b/>
          <w:color w:val="1F3864"/>
        </w:rPr>
        <w:t>Selection Thresholds Set Before Evaluation</w:t>
      </w:r>
    </w:p>
    <w:tbl>
      <w:tblPr>
        <w:tblW w:w="0" w:type="auto"/>
        <w:jc w:val="center"/>
        <w:tblLook w:val="04A0" w:firstRow="1" w:lastRow="0" w:firstColumn="1" w:lastColumn="0" w:noHBand="0" w:noVBand="1"/>
      </w:tblPr>
      <w:tblGrid>
        <w:gridCol w:w="2484"/>
        <w:gridCol w:w="2484"/>
        <w:gridCol w:w="2484"/>
        <w:gridCol w:w="2484"/>
      </w:tblGrid>
      <w:tr w:rsidR="009A378B" w14:paraId="48900E50"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FA15FD1" w14:textId="77777777" w:rsidR="009A378B" w:rsidRDefault="00000000">
            <w:pPr>
              <w:jc w:val="center"/>
            </w:pPr>
            <w:r>
              <w:rPr>
                <w:rFonts w:ascii="Calibri" w:hAnsi="Calibri"/>
                <w:b/>
                <w:color w:val="FFFFFF"/>
                <w:sz w:val="19"/>
              </w:rPr>
              <w:t>Selection Threshold</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CE58E8B" w14:textId="77777777" w:rsidR="009A378B" w:rsidRDefault="00000000">
            <w:pPr>
              <w:jc w:val="center"/>
            </w:pPr>
            <w:r>
              <w:rPr>
                <w:rFonts w:ascii="Calibri" w:hAnsi="Calibri"/>
                <w:b/>
                <w:color w:val="FFFFFF"/>
                <w:sz w:val="19"/>
              </w:rPr>
              <w:t>Pre-Declared Target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D9A5E7C" w14:textId="77777777" w:rsidR="009A378B" w:rsidRDefault="00000000">
            <w:pPr>
              <w:jc w:val="center"/>
            </w:pPr>
            <w:r>
              <w:rPr>
                <w:rFonts w:ascii="Calibri" w:hAnsi="Calibri"/>
                <w:b/>
                <w:color w:val="FFFFFF"/>
                <w:sz w:val="19"/>
              </w:rPr>
              <w:t>Observed Pilot Result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6279BC7" w14:textId="77777777" w:rsidR="009A378B" w:rsidRDefault="00000000">
            <w:r>
              <w:rPr>
                <w:rFonts w:ascii="Calibri" w:hAnsi="Calibri"/>
                <w:b/>
                <w:color w:val="FFFFFF"/>
                <w:sz w:val="19"/>
              </w:rPr>
              <w:t>Governance Rationale</w:t>
            </w:r>
          </w:p>
        </w:tc>
      </w:tr>
      <w:tr w:rsidR="009A378B" w14:paraId="00735389"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81F7EA" w14:textId="77777777" w:rsidR="009A378B" w:rsidRDefault="00000000">
            <w:r>
              <w:rPr>
                <w:rFonts w:ascii="Calibri" w:hAnsi="Calibri"/>
                <w:b/>
                <w:color w:val="1F3864"/>
                <w:sz w:val="18"/>
              </w:rPr>
              <w:t>Inference latency (p95, end-to-end)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10B894" w14:textId="77777777" w:rsidR="009A378B" w:rsidRDefault="00000000">
            <w:pPr>
              <w:jc w:val="center"/>
            </w:pPr>
            <w:r>
              <w:rPr>
                <w:rFonts w:ascii="Calibri" w:hAnsi="Calibri"/>
                <w:color w:val="000000"/>
                <w:sz w:val="18"/>
              </w:rPr>
              <w:t>&lt; 1.5 seconds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85E72D" w14:textId="77777777" w:rsidR="009A378B" w:rsidRDefault="00000000">
            <w:pPr>
              <w:jc w:val="center"/>
            </w:pPr>
            <w:r>
              <w:rPr>
                <w:rFonts w:ascii="Calibri" w:hAnsi="Calibri"/>
                <w:color w:val="000000"/>
                <w:sz w:val="18"/>
              </w:rPr>
              <w:t>1.1s at pilot load</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0261EC" w14:textId="77777777" w:rsidR="009A378B" w:rsidRDefault="00000000">
            <w:r>
              <w:rPr>
                <w:rFonts w:ascii="Calibri" w:hAnsi="Calibri"/>
                <w:color w:val="000000"/>
                <w:sz w:val="18"/>
              </w:rPr>
              <w:t xml:space="preserve">Latency pressure is where grounding thresholds get quietly relaxed under commercial volume. Setting </w:t>
            </w:r>
            <w:r>
              <w:rPr>
                <w:rFonts w:ascii="Calibri" w:hAnsi="Calibri"/>
                <w:color w:val="000000"/>
                <w:sz w:val="18"/>
              </w:rPr>
              <w:lastRenderedPageBreak/>
              <w:t>the ceiling in advance removes the argument.</w:t>
            </w:r>
          </w:p>
        </w:tc>
      </w:tr>
      <w:tr w:rsidR="009A378B" w14:paraId="50B0DCA0"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58561B" w14:textId="77777777" w:rsidR="009A378B" w:rsidRDefault="00000000">
            <w:r>
              <w:rPr>
                <w:rFonts w:ascii="Calibri" w:hAnsi="Calibri"/>
                <w:b/>
                <w:color w:val="1F3864"/>
                <w:sz w:val="18"/>
              </w:rPr>
              <w:lastRenderedPageBreak/>
              <w:t>Cost per inference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EEC3183" w14:textId="77777777" w:rsidR="009A378B" w:rsidRDefault="00000000">
            <w:pPr>
              <w:jc w:val="center"/>
            </w:pPr>
            <w:r>
              <w:rPr>
                <w:rFonts w:ascii="Calibri" w:hAnsi="Calibri"/>
                <w:color w:val="000000"/>
                <w:sz w:val="18"/>
              </w:rPr>
              <w:t>Per-token, no standing capacity commitment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343C84" w14:textId="77777777" w:rsidR="009A378B" w:rsidRDefault="00000000">
            <w:pPr>
              <w:jc w:val="center"/>
            </w:pPr>
            <w:r>
              <w:rPr>
                <w:rFonts w:ascii="Calibri" w:hAnsi="Calibri"/>
                <w:color w:val="000000"/>
                <w:sz w:val="18"/>
              </w:rPr>
              <w:t>Within budget; vector store selected with zero idle cost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026A32" w14:textId="77777777" w:rsidR="009A378B" w:rsidRDefault="00000000">
            <w:r>
              <w:rPr>
                <w:rFonts w:ascii="Calibri" w:hAnsi="Calibri"/>
                <w:color w:val="000000"/>
                <w:sz w:val="18"/>
              </w:rPr>
              <w:t>An architecture with no idle resource fails safe when forgotten.</w:t>
            </w:r>
          </w:p>
        </w:tc>
      </w:tr>
      <w:tr w:rsidR="009A378B" w14:paraId="44D7B51F"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0CC583" w14:textId="77777777" w:rsidR="009A378B" w:rsidRDefault="00000000">
            <w:r>
              <w:rPr>
                <w:rFonts w:ascii="Calibri" w:hAnsi="Calibri"/>
                <w:b/>
                <w:color w:val="1F3864"/>
                <w:sz w:val="18"/>
              </w:rPr>
              <w:t>Contextual accuracy &amp; grounding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01EED6" w14:textId="77777777" w:rsidR="009A378B" w:rsidRDefault="00000000">
            <w:pPr>
              <w:jc w:val="center"/>
            </w:pPr>
            <w:r>
              <w:rPr>
                <w:rFonts w:ascii="Calibri" w:hAnsi="Calibri"/>
                <w:color w:val="000000"/>
                <w:sz w:val="18"/>
              </w:rPr>
              <w:t>Grounding &gt;= 0.75 block-on-fail; citation resolution 100%</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343CB7" w14:textId="77777777" w:rsidR="009A378B" w:rsidRDefault="00000000">
            <w:pPr>
              <w:jc w:val="center"/>
            </w:pPr>
            <w:r>
              <w:rPr>
                <w:rFonts w:ascii="Calibri" w:hAnsi="Calibri"/>
                <w:color w:val="000000"/>
                <w:sz w:val="18"/>
              </w:rPr>
              <w:t>Met; 6.2% block rate within an 8% tolerance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0A226E" w14:textId="77777777" w:rsidR="009A378B" w:rsidRDefault="00000000">
            <w:r>
              <w:rPr>
                <w:rFonts w:ascii="Calibri" w:hAnsi="Calibri"/>
                <w:color w:val="000000"/>
                <w:sz w:val="18"/>
              </w:rPr>
              <w:t>Accuracy for generated narrative text is grounding fidelity and citation support, not classification accuracy.</w:t>
            </w:r>
          </w:p>
        </w:tc>
      </w:tr>
      <w:tr w:rsidR="009A378B" w14:paraId="1CD6D026" w14:textId="77777777">
        <w:trPr>
          <w:jc w:val="center"/>
        </w:trPr>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4C33F7" w14:textId="77777777" w:rsidR="009A378B" w:rsidRDefault="00000000">
            <w:r>
              <w:rPr>
                <w:rFonts w:ascii="Calibri" w:hAnsi="Calibri"/>
                <w:b/>
                <w:color w:val="1F3864"/>
                <w:sz w:val="18"/>
              </w:rPr>
              <w:t>Regional data residency &amp; controls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724C11" w14:textId="77777777" w:rsidR="009A378B" w:rsidRDefault="00000000">
            <w:pPr>
              <w:jc w:val="center"/>
            </w:pPr>
            <w:r>
              <w:rPr>
                <w:rFonts w:ascii="Calibri" w:hAnsi="Calibri"/>
                <w:color w:val="000000"/>
                <w:sz w:val="18"/>
              </w:rPr>
              <w:t>Model AND every dependent safety control in Singapore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DD1101" w14:textId="77777777" w:rsidR="009A378B" w:rsidRDefault="00000000">
            <w:pPr>
              <w:jc w:val="center"/>
            </w:pPr>
            <w:r>
              <w:rPr>
                <w:rFonts w:ascii="Calibri" w:hAnsi="Calibri"/>
                <w:color w:val="000000"/>
                <w:sz w:val="18"/>
              </w:rPr>
              <w:t>Met, with one exception carried as R-12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E20B43" w14:textId="77777777" w:rsidR="009A378B" w:rsidRDefault="00000000">
            <w:r>
              <w:rPr>
                <w:rFonts w:ascii="Calibri" w:hAnsi="Calibri"/>
                <w:color w:val="000000"/>
                <w:sz w:val="18"/>
              </w:rPr>
              <w:t>A model available in-region whose guardrail layer is hosted externally is an impermissible cross-border transfer.</w:t>
            </w:r>
          </w:p>
        </w:tc>
      </w:tr>
    </w:tbl>
    <w:p w14:paraId="77FC0E3A" w14:textId="77777777" w:rsidR="009A378B" w:rsidRDefault="009A378B"/>
    <w:p w14:paraId="1BBAD1C4" w14:textId="77777777" w:rsidR="009A378B" w:rsidRDefault="00000000">
      <w:pPr>
        <w:spacing w:after="80"/>
      </w:pPr>
      <w:r>
        <w:rPr>
          <w:rFonts w:ascii="Calibri" w:hAnsi="Calibri"/>
          <w:b/>
          <w:color w:val="1F3864"/>
          <w:sz w:val="28"/>
        </w:rPr>
        <w:t>3. Fine-Tune versus Retrieve — The Decision That Shaped the Architecture</w:t>
      </w:r>
    </w:p>
    <w:p w14:paraId="690E0812" w14:textId="77777777" w:rsidR="009A378B" w:rsidRDefault="00000000">
      <w:pPr>
        <w:spacing w:after="120"/>
      </w:pPr>
      <w:r>
        <w:rPr>
          <w:rFonts w:ascii="Calibri" w:hAnsi="Calibri"/>
          <w:sz w:val="20"/>
        </w:rPr>
        <w:t>Once the managed platform was selected, the remaining question was whether to adapt the model to the lending policy via parameter fine-tuning or ground it against the policy at inference via Retrieval-Augmented Generation (RAG). This was decided on governance grounds rather than raw capability:</w:t>
      </w:r>
    </w:p>
    <w:tbl>
      <w:tblPr>
        <w:tblW w:w="0" w:type="auto"/>
        <w:jc w:val="center"/>
        <w:tblLook w:val="04A0" w:firstRow="1" w:lastRow="0" w:firstColumn="1" w:lastColumn="0" w:noHBand="0" w:noVBand="1"/>
      </w:tblPr>
      <w:tblGrid>
        <w:gridCol w:w="3312"/>
        <w:gridCol w:w="3312"/>
        <w:gridCol w:w="3312"/>
      </w:tblGrid>
      <w:tr w:rsidR="009A378B" w14:paraId="09BF4715"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A587966" w14:textId="77777777" w:rsidR="009A378B" w:rsidRDefault="00000000">
            <w:r>
              <w:rPr>
                <w:rFonts w:ascii="Calibri" w:hAnsi="Calibri"/>
                <w:b/>
                <w:color w:val="FFFFFF"/>
                <w:sz w:val="19"/>
              </w:rPr>
              <w:t>Governance Consideration</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F361640" w14:textId="77777777" w:rsidR="009A378B" w:rsidRDefault="00000000">
            <w:pPr>
              <w:jc w:val="center"/>
            </w:pPr>
            <w:r>
              <w:rPr>
                <w:rFonts w:ascii="Calibri" w:hAnsi="Calibri"/>
                <w:b/>
                <w:color w:val="FFFFFF"/>
                <w:sz w:val="19"/>
              </w:rPr>
              <w:t>Retrieval (Adopted)</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90040B6" w14:textId="77777777" w:rsidR="009A378B" w:rsidRDefault="00000000">
            <w:pPr>
              <w:jc w:val="center"/>
            </w:pPr>
            <w:r>
              <w:rPr>
                <w:rFonts w:ascii="Calibri" w:hAnsi="Calibri"/>
                <w:b/>
                <w:color w:val="FFFFFF"/>
                <w:sz w:val="19"/>
              </w:rPr>
              <w:t>Fine-Tuning (Rejected)</w:t>
            </w:r>
          </w:p>
        </w:tc>
      </w:tr>
      <w:tr w:rsidR="009A378B" w14:paraId="6DB5EA35"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16B69E" w14:textId="77777777" w:rsidR="009A378B" w:rsidRDefault="00000000">
            <w:r>
              <w:rPr>
                <w:rFonts w:ascii="Calibri" w:hAnsi="Calibri"/>
                <w:b/>
                <w:color w:val="000000"/>
                <w:sz w:val="18"/>
              </w:rPr>
              <w:t>Citability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68718A" w14:textId="77777777" w:rsidR="009A378B" w:rsidRDefault="00000000">
            <w:r>
              <w:rPr>
                <w:rFonts w:ascii="Calibri" w:hAnsi="Calibri"/>
                <w:color w:val="000000"/>
                <w:sz w:val="18"/>
              </w:rPr>
              <w:t>Every assertion traces to a specific, retrievable source passage.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D88011" w14:textId="77777777" w:rsidR="009A378B" w:rsidRDefault="00000000">
            <w:r>
              <w:rPr>
                <w:rFonts w:ascii="Calibri" w:hAnsi="Calibri"/>
                <w:color w:val="000000"/>
                <w:sz w:val="18"/>
              </w:rPr>
              <w:t>The model cannot cite what is locked in internal neural weights.</w:t>
            </w:r>
          </w:p>
        </w:tc>
      </w:tr>
      <w:tr w:rsidR="009A378B" w14:paraId="539F8447"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E6F1E1" w14:textId="77777777" w:rsidR="009A378B" w:rsidRDefault="00000000">
            <w:r>
              <w:rPr>
                <w:rFonts w:ascii="Calibri" w:hAnsi="Calibri"/>
                <w:b/>
                <w:color w:val="000000"/>
                <w:sz w:val="18"/>
              </w:rPr>
              <w:t>Policy Currency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DA440B" w14:textId="77777777" w:rsidR="009A378B" w:rsidRDefault="00000000">
            <w:r>
              <w:rPr>
                <w:rFonts w:ascii="Calibri" w:hAnsi="Calibri"/>
                <w:color w:val="000000"/>
                <w:sz w:val="18"/>
              </w:rPr>
              <w:t>A credit policy change is a real-time vector corpus re-index.</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7124DA" w14:textId="77777777" w:rsidR="009A378B" w:rsidRDefault="00000000">
            <w:r>
              <w:rPr>
                <w:rFonts w:ascii="Calibri" w:hAnsi="Calibri"/>
                <w:color w:val="000000"/>
                <w:sz w:val="18"/>
              </w:rPr>
              <w:t>A policy change requires costly model retraining and validation.</w:t>
            </w:r>
          </w:p>
        </w:tc>
      </w:tr>
      <w:tr w:rsidR="009A378B" w14:paraId="6DC9D4D5"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A283C4" w14:textId="77777777" w:rsidR="009A378B" w:rsidRDefault="00000000">
            <w:r>
              <w:rPr>
                <w:rFonts w:ascii="Calibri" w:hAnsi="Calibri"/>
                <w:b/>
                <w:color w:val="000000"/>
                <w:sz w:val="18"/>
              </w:rPr>
              <w:t>Auditability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A5C63A" w14:textId="77777777" w:rsidR="009A378B" w:rsidRDefault="00000000">
            <w:r>
              <w:rPr>
                <w:rFonts w:ascii="Calibri" w:hAnsi="Calibri"/>
                <w:color w:val="000000"/>
                <w:sz w:val="18"/>
              </w:rPr>
              <w:t>What the model saw at inference is fully captured in the WORM audit vault.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B2789D" w14:textId="77777777" w:rsidR="009A378B" w:rsidRDefault="00000000">
            <w:r>
              <w:rPr>
                <w:rFonts w:ascii="Calibri" w:hAnsi="Calibri"/>
                <w:color w:val="000000"/>
                <w:sz w:val="18"/>
              </w:rPr>
              <w:t>What the model learned during fine-tuning is un-inspectable.</w:t>
            </w:r>
          </w:p>
        </w:tc>
      </w:tr>
      <w:tr w:rsidR="009A378B" w14:paraId="0B6F3EDA"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2F6D940" w14:textId="77777777" w:rsidR="009A378B" w:rsidRDefault="00000000">
            <w:r>
              <w:rPr>
                <w:rFonts w:ascii="Calibri" w:hAnsi="Calibri"/>
                <w:b/>
                <w:color w:val="000000"/>
                <w:sz w:val="18"/>
              </w:rPr>
              <w:t>Data Protection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F95F6B" w14:textId="77777777" w:rsidR="009A378B" w:rsidRDefault="00000000">
            <w:r>
              <w:rPr>
                <w:rFonts w:ascii="Calibri" w:hAnsi="Calibri"/>
                <w:color w:val="000000"/>
                <w:sz w:val="18"/>
              </w:rPr>
              <w:t>Bank lending policy never enters provider model weights.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CE4664" w14:textId="77777777" w:rsidR="009A378B" w:rsidRDefault="00000000">
            <w:r>
              <w:rPr>
                <w:rFonts w:ascii="Calibri" w:hAnsi="Calibri"/>
                <w:color w:val="000000"/>
                <w:sz w:val="18"/>
              </w:rPr>
              <w:t>Proprietary credit criteria influence the model weights permanently.</w:t>
            </w:r>
          </w:p>
        </w:tc>
      </w:tr>
      <w:tr w:rsidR="009A378B" w14:paraId="7B60B5DA"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5CAF77A" w14:textId="77777777" w:rsidR="009A378B" w:rsidRDefault="00000000">
            <w:r>
              <w:rPr>
                <w:rFonts w:ascii="Calibri" w:hAnsi="Calibri"/>
                <w:b/>
                <w:color w:val="000000"/>
                <w:sz w:val="18"/>
              </w:rPr>
              <w:t>Governance Cost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84EBB3" w14:textId="77777777" w:rsidR="009A378B" w:rsidRDefault="00000000">
            <w:r>
              <w:rPr>
                <w:rFonts w:ascii="Calibri" w:hAnsi="Calibri"/>
                <w:color w:val="000000"/>
                <w:sz w:val="18"/>
              </w:rPr>
              <w:t>Corpus update triggers regression re-test (A-39).</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52E67B" w14:textId="77777777" w:rsidR="009A378B" w:rsidRDefault="00000000">
            <w:r>
              <w:rPr>
                <w:rFonts w:ascii="Calibri" w:hAnsi="Calibri"/>
                <w:color w:val="000000"/>
                <w:sz w:val="18"/>
              </w:rPr>
              <w:t>Every model retrain triggers a full MRM validation pass (A-18).</w:t>
            </w:r>
          </w:p>
        </w:tc>
      </w:tr>
      <w:tr w:rsidR="009A378B" w14:paraId="07116300"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2D5CBD" w14:textId="77777777" w:rsidR="009A378B" w:rsidRDefault="00000000">
            <w:r>
              <w:rPr>
                <w:rFonts w:ascii="Calibri" w:hAnsi="Calibri"/>
                <w:b/>
                <w:color w:val="000000"/>
                <w:sz w:val="18"/>
              </w:rPr>
              <w:t>Introduced Risk</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0F4B91E9" w14:textId="77777777" w:rsidR="009A378B" w:rsidRDefault="00000000">
            <w:r>
              <w:rPr>
                <w:rFonts w:ascii="Calibri" w:hAnsi="Calibri"/>
                <w:color w:val="9C0006"/>
                <w:sz w:val="18"/>
              </w:rPr>
              <w:t xml:space="preserve">A retrieval metadata surface that can </w:t>
            </w:r>
            <w:r>
              <w:rPr>
                <w:rFonts w:ascii="Calibri" w:hAnsi="Calibri"/>
                <w:color w:val="9C0006"/>
                <w:sz w:val="18"/>
              </w:rPr>
              <w:lastRenderedPageBreak/>
              <w:t>carry demographic proxies (caught at Gate 2).</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29438D" w14:textId="77777777" w:rsidR="009A378B" w:rsidRDefault="00000000">
            <w:r>
              <w:rPr>
                <w:rFonts w:ascii="Calibri" w:hAnsi="Calibri"/>
                <w:color w:val="000000"/>
                <w:sz w:val="18"/>
              </w:rPr>
              <w:lastRenderedPageBreak/>
              <w:t xml:space="preserve">No retrieval metadata surface, but </w:t>
            </w:r>
            <w:r>
              <w:rPr>
                <w:rFonts w:ascii="Calibri" w:hAnsi="Calibri"/>
                <w:color w:val="000000"/>
                <w:sz w:val="18"/>
              </w:rPr>
              <w:lastRenderedPageBreak/>
              <w:t>black-box bias risks.</w:t>
            </w:r>
          </w:p>
        </w:tc>
      </w:tr>
    </w:tbl>
    <w:p w14:paraId="410FA442" w14:textId="77777777" w:rsidR="009A378B" w:rsidRDefault="009A378B">
      <w:pPr>
        <w:spacing w:after="120"/>
      </w:pPr>
    </w:p>
    <w:p w14:paraId="101D46BB" w14:textId="77777777" w:rsidR="009A378B" w:rsidRDefault="00000000">
      <w:r>
        <w:rPr>
          <w:rFonts w:ascii="Calibri" w:hAnsi="Calibri"/>
          <w:i/>
          <w:color w:val="9C0006"/>
          <w:sz w:val="19"/>
        </w:rPr>
        <w:t>⚠  The Introduced Risk row is recorded because it is the cost of the decision, not a footnote to it. RAG is routinely presented as the universal answer to hallucination. It is an effective answer to hallucination and it introduces a fairness surface fine-tuning does not have. Frameworks that adopt retrieval for its explainability benefits without governing the retrieval metadata have traded one risk for another and not noticed — which is precisely what happened in this project and was caught at Gate 2 (where postal metadata in retrieval chunks caused DIR to fall to 0.67).</w:t>
      </w:r>
    </w:p>
    <w:p w14:paraId="4E2F23BD" w14:textId="77777777" w:rsidR="009A378B" w:rsidRDefault="00000000">
      <w:pPr>
        <w:spacing w:after="80"/>
      </w:pPr>
      <w:r>
        <w:rPr>
          <w:rFonts w:ascii="Calibri" w:hAnsi="Calibri"/>
          <w:b/>
          <w:color w:val="1F3864"/>
          <w:sz w:val="28"/>
        </w:rPr>
        <w:t>4. Weighted Vendor Evaluation Criteria &amp; Scoring Rubric</w:t>
      </w:r>
    </w:p>
    <w:p w14:paraId="017ADF28" w14:textId="77777777" w:rsidR="009A378B" w:rsidRDefault="00000000">
      <w:pPr>
        <w:spacing w:after="120"/>
      </w:pPr>
      <w:r>
        <w:rPr>
          <w:rFonts w:ascii="Calibri" w:hAnsi="Calibri"/>
          <w:sz w:val="20"/>
        </w:rPr>
        <w:t>Weightings were agreed by the AI Governance Committee before any commercial candidate was assessed, for the same reason fairness thresholds are set before testing. Scores, evidence sources, and verification dates are maintained in AI Model Registry (A-18):</w:t>
      </w:r>
    </w:p>
    <w:tbl>
      <w:tblPr>
        <w:tblW w:w="0" w:type="auto"/>
        <w:jc w:val="center"/>
        <w:tblLook w:val="04A0" w:firstRow="1" w:lastRow="0" w:firstColumn="1" w:lastColumn="0" w:noHBand="0" w:noVBand="1"/>
      </w:tblPr>
      <w:tblGrid>
        <w:gridCol w:w="2484"/>
        <w:gridCol w:w="2484"/>
        <w:gridCol w:w="2484"/>
        <w:gridCol w:w="2484"/>
      </w:tblGrid>
      <w:tr w:rsidR="009A378B" w14:paraId="1D1F9313"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1CFBEAC" w14:textId="77777777" w:rsidR="009A378B" w:rsidRDefault="00000000">
            <w:pPr>
              <w:jc w:val="center"/>
            </w:pPr>
            <w:r>
              <w:rPr>
                <w:rFonts w:ascii="Calibri" w:hAnsi="Calibri"/>
                <w:b/>
                <w:color w:val="FFFFFF"/>
                <w:sz w:val="19"/>
              </w:rPr>
              <w:t>Ref</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9D2AEB7" w14:textId="77777777" w:rsidR="009A378B" w:rsidRDefault="00000000">
            <w:r>
              <w:rPr>
                <w:rFonts w:ascii="Calibri" w:hAnsi="Calibri"/>
                <w:b/>
                <w:color w:val="FFFFFF"/>
                <w:sz w:val="19"/>
              </w:rPr>
              <w:t>Criterion Description</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2858CCE" w14:textId="77777777" w:rsidR="009A378B" w:rsidRDefault="00000000">
            <w:pPr>
              <w:jc w:val="center"/>
            </w:pPr>
            <w:r>
              <w:rPr>
                <w:rFonts w:ascii="Calibri" w:hAnsi="Calibri"/>
                <w:b/>
                <w:color w:val="FFFFFF"/>
                <w:sz w:val="19"/>
              </w:rPr>
              <w:t>Weight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8778B15" w14:textId="77777777" w:rsidR="009A378B" w:rsidRDefault="00000000">
            <w:r>
              <w:rPr>
                <w:rFonts w:ascii="Calibri" w:hAnsi="Calibri"/>
                <w:b/>
                <w:color w:val="FFFFFF"/>
                <w:sz w:val="19"/>
              </w:rPr>
              <w:t>Mandatory Evidence Standard</w:t>
            </w:r>
          </w:p>
        </w:tc>
      </w:tr>
      <w:tr w:rsidR="009A378B" w14:paraId="350FB81C"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F5A0FD9" w14:textId="77777777" w:rsidR="009A378B" w:rsidRDefault="00000000">
            <w:pPr>
              <w:jc w:val="center"/>
            </w:pPr>
            <w:r>
              <w:rPr>
                <w:rFonts w:ascii="Calibri" w:hAnsi="Calibri"/>
                <w:b/>
                <w:color w:val="1F3864"/>
                <w:sz w:val="18"/>
              </w:rPr>
              <w:t>G-01</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D1EF0C5" w14:textId="77777777" w:rsidR="009A378B" w:rsidRDefault="00000000">
            <w:r>
              <w:rPr>
                <w:rFonts w:ascii="Calibri" w:hAnsi="Calibri"/>
                <w:color w:val="000000"/>
                <w:sz w:val="18"/>
              </w:rPr>
              <w:t>Data handling and training exclusion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076F7C" w14:textId="77777777" w:rsidR="009A378B" w:rsidRDefault="00000000">
            <w:pPr>
              <w:jc w:val="center"/>
            </w:pPr>
            <w:r>
              <w:rPr>
                <w:rFonts w:ascii="Calibri" w:hAnsi="Calibri"/>
                <w:b/>
                <w:color w:val="000000"/>
                <w:sz w:val="18"/>
              </w:rPr>
              <w:t>25%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4CD18D" w14:textId="77777777" w:rsidR="009A378B" w:rsidRDefault="00000000">
            <w:r>
              <w:rPr>
                <w:rFonts w:ascii="Calibri" w:hAnsi="Calibri"/>
                <w:color w:val="000000"/>
                <w:sz w:val="18"/>
              </w:rPr>
              <w:t>Contractual and technical guarantee that inference data is excluded from provider training and remains in-region.</w:t>
            </w:r>
          </w:p>
        </w:tc>
      </w:tr>
      <w:tr w:rsidR="009A378B" w14:paraId="6B3E8172"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716D242" w14:textId="77777777" w:rsidR="009A378B" w:rsidRDefault="00000000">
            <w:pPr>
              <w:jc w:val="center"/>
            </w:pPr>
            <w:r>
              <w:rPr>
                <w:rFonts w:ascii="Calibri" w:hAnsi="Calibri"/>
                <w:b/>
                <w:color w:val="1F3864"/>
                <w:sz w:val="18"/>
              </w:rPr>
              <w:t>G-02</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18CEE6B" w14:textId="77777777" w:rsidR="009A378B" w:rsidRDefault="00000000">
            <w:r>
              <w:rPr>
                <w:rFonts w:ascii="Calibri" w:hAnsi="Calibri"/>
                <w:color w:val="000000"/>
                <w:sz w:val="18"/>
              </w:rPr>
              <w:t>Regional availability — model and dependent controls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6A33A71" w14:textId="77777777" w:rsidR="009A378B" w:rsidRDefault="00000000">
            <w:pPr>
              <w:jc w:val="center"/>
            </w:pPr>
            <w:r>
              <w:rPr>
                <w:rFonts w:ascii="Calibri" w:hAnsi="Calibri"/>
                <w:b/>
                <w:color w:val="000000"/>
                <w:sz w:val="18"/>
              </w:rPr>
              <w:t>20%</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05C40B" w14:textId="77777777" w:rsidR="009A378B" w:rsidRDefault="00000000">
            <w:r>
              <w:rPr>
                <w:rFonts w:ascii="Calibri" w:hAnsi="Calibri"/>
                <w:color w:val="000000"/>
                <w:sz w:val="18"/>
              </w:rPr>
              <w:t>Confirmed availability of the model AND every safety control the architecture depends on within designated region.</w:t>
            </w:r>
          </w:p>
        </w:tc>
      </w:tr>
      <w:tr w:rsidR="009A378B" w14:paraId="54F0FFA4"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7F8D162" w14:textId="77777777" w:rsidR="009A378B" w:rsidRDefault="00000000">
            <w:pPr>
              <w:jc w:val="center"/>
            </w:pPr>
            <w:r>
              <w:rPr>
                <w:rFonts w:ascii="Calibri" w:hAnsi="Calibri"/>
                <w:b/>
                <w:color w:val="1F3864"/>
                <w:sz w:val="18"/>
              </w:rPr>
              <w:t>G-03</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859276" w14:textId="77777777" w:rsidR="009A378B" w:rsidRDefault="00000000">
            <w:r>
              <w:rPr>
                <w:rFonts w:ascii="Calibri" w:hAnsi="Calibri"/>
                <w:color w:val="000000"/>
                <w:sz w:val="18"/>
              </w:rPr>
              <w:t>Safety control compatibility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50AE5B" w14:textId="77777777" w:rsidR="009A378B" w:rsidRDefault="00000000">
            <w:pPr>
              <w:jc w:val="center"/>
            </w:pPr>
            <w:r>
              <w:rPr>
                <w:rFonts w:ascii="Calibri" w:hAnsi="Calibri"/>
                <w:b/>
                <w:color w:val="000000"/>
                <w:sz w:val="18"/>
              </w:rPr>
              <w:t>15%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3DABB5" w14:textId="77777777" w:rsidR="009A378B" w:rsidRDefault="00000000">
            <w:r>
              <w:rPr>
                <w:rFonts w:ascii="Calibri" w:hAnsi="Calibri"/>
                <w:color w:val="000000"/>
                <w:sz w:val="18"/>
              </w:rPr>
              <w:t>Works natively with the platform control layer (AWS Bedrock Guardrails) without model-specific workarounds.</w:t>
            </w:r>
          </w:p>
        </w:tc>
      </w:tr>
      <w:tr w:rsidR="009A378B" w14:paraId="30EA5208"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C8C1BF5" w14:textId="77777777" w:rsidR="009A378B" w:rsidRDefault="00000000">
            <w:pPr>
              <w:jc w:val="center"/>
            </w:pPr>
            <w:r>
              <w:rPr>
                <w:rFonts w:ascii="Calibri" w:hAnsi="Calibri"/>
                <w:b/>
                <w:color w:val="1F3864"/>
                <w:sz w:val="18"/>
              </w:rPr>
              <w:t>G-04</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1956A0" w14:textId="77777777" w:rsidR="009A378B" w:rsidRDefault="00000000">
            <w:r>
              <w:rPr>
                <w:rFonts w:ascii="Calibri" w:hAnsi="Calibri"/>
                <w:color w:val="000000"/>
                <w:sz w:val="18"/>
              </w:rPr>
              <w:t>Documentation and provider transparency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1D230B" w14:textId="77777777" w:rsidR="009A378B" w:rsidRDefault="00000000">
            <w:pPr>
              <w:jc w:val="center"/>
            </w:pPr>
            <w:r>
              <w:rPr>
                <w:rFonts w:ascii="Calibri" w:hAnsi="Calibri"/>
                <w:b/>
                <w:color w:val="000000"/>
                <w:sz w:val="18"/>
              </w:rPr>
              <w:t>15%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9D664EA" w14:textId="77777777" w:rsidR="009A378B" w:rsidRDefault="00000000">
            <w:r>
              <w:rPr>
                <w:rFonts w:ascii="Calibri" w:hAnsi="Calibri"/>
                <w:color w:val="000000"/>
                <w:sz w:val="18"/>
              </w:rPr>
              <w:t>Model Card, evaluation methodology, stated limitations, and training-data characterisation sufficient to discharge Art. 26.</w:t>
            </w:r>
          </w:p>
        </w:tc>
      </w:tr>
      <w:tr w:rsidR="009A378B" w14:paraId="69C13F51"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859BB79" w14:textId="77777777" w:rsidR="009A378B" w:rsidRDefault="00000000">
            <w:pPr>
              <w:jc w:val="center"/>
            </w:pPr>
            <w:r>
              <w:rPr>
                <w:rFonts w:ascii="Calibri" w:hAnsi="Calibri"/>
                <w:b/>
                <w:color w:val="1F3864"/>
                <w:sz w:val="18"/>
              </w:rPr>
              <w:t>G-05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79DE23" w14:textId="77777777" w:rsidR="009A378B" w:rsidRDefault="00000000">
            <w:r>
              <w:rPr>
                <w:rFonts w:ascii="Calibri" w:hAnsi="Calibri"/>
                <w:color w:val="000000"/>
                <w:sz w:val="18"/>
              </w:rPr>
              <w:t>Citation and grounding fidelity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4B9BA2" w14:textId="77777777" w:rsidR="009A378B" w:rsidRDefault="00000000">
            <w:pPr>
              <w:jc w:val="center"/>
            </w:pPr>
            <w:r>
              <w:rPr>
                <w:rFonts w:ascii="Calibri" w:hAnsi="Calibri"/>
                <w:b/>
                <w:color w:val="000000"/>
                <w:sz w:val="18"/>
              </w:rPr>
              <w:t>10%</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9E9B87" w14:textId="77777777" w:rsidR="009A378B" w:rsidRDefault="00000000">
            <w:r>
              <w:rPr>
                <w:rFonts w:ascii="Calibri" w:hAnsi="Calibri"/>
                <w:color w:val="000000"/>
                <w:sz w:val="18"/>
              </w:rPr>
              <w:t xml:space="preserve">Empirical benchmark result on the bank's own retail lending policy corpus, not generic provider </w:t>
            </w:r>
            <w:r>
              <w:rPr>
                <w:rFonts w:ascii="Calibri" w:hAnsi="Calibri"/>
                <w:color w:val="000000"/>
                <w:sz w:val="18"/>
              </w:rPr>
              <w:lastRenderedPageBreak/>
              <w:t>benchmarks.</w:t>
            </w:r>
          </w:p>
        </w:tc>
      </w:tr>
      <w:tr w:rsidR="009A378B" w14:paraId="0D6BDAE4"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5A6E5E3" w14:textId="77777777" w:rsidR="009A378B" w:rsidRDefault="00000000">
            <w:pPr>
              <w:jc w:val="center"/>
            </w:pPr>
            <w:r>
              <w:rPr>
                <w:rFonts w:ascii="Calibri" w:hAnsi="Calibri"/>
                <w:b/>
                <w:color w:val="1F3864"/>
                <w:sz w:val="18"/>
              </w:rPr>
              <w:lastRenderedPageBreak/>
              <w:t>G-06</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CDF8AD" w14:textId="77777777" w:rsidR="009A378B" w:rsidRDefault="00000000">
            <w:r>
              <w:rPr>
                <w:rFonts w:ascii="Calibri" w:hAnsi="Calibri"/>
                <w:color w:val="000000"/>
                <w:sz w:val="18"/>
              </w:rPr>
              <w:t>Version lifecycle and deprecation notice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C9DC11" w14:textId="77777777" w:rsidR="009A378B" w:rsidRDefault="00000000">
            <w:pPr>
              <w:jc w:val="center"/>
            </w:pPr>
            <w:r>
              <w:rPr>
                <w:rFonts w:ascii="Calibri" w:hAnsi="Calibri"/>
                <w:b/>
                <w:color w:val="000000"/>
                <w:sz w:val="18"/>
              </w:rPr>
              <w:t>10%</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0C3C23" w14:textId="77777777" w:rsidR="009A378B" w:rsidRDefault="00000000">
            <w:r>
              <w:rPr>
                <w:rFonts w:ascii="Calibri" w:hAnsi="Calibri"/>
                <w:color w:val="000000"/>
                <w:sz w:val="18"/>
              </w:rPr>
              <w:t>Published versioning policy and binding minimum contractual notice period (&gt;= 90 days).</w:t>
            </w:r>
          </w:p>
        </w:tc>
      </w:tr>
      <w:tr w:rsidR="009A378B" w14:paraId="71131D88"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DB91DF0" w14:textId="77777777" w:rsidR="009A378B" w:rsidRDefault="00000000">
            <w:pPr>
              <w:jc w:val="center"/>
            </w:pPr>
            <w:r>
              <w:rPr>
                <w:rFonts w:ascii="Calibri" w:hAnsi="Calibri"/>
                <w:b/>
                <w:color w:val="1F3864"/>
                <w:sz w:val="18"/>
              </w:rPr>
              <w:t>G-07</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BE7A78" w14:textId="77777777" w:rsidR="009A378B" w:rsidRDefault="00000000">
            <w:r>
              <w:rPr>
                <w:rFonts w:ascii="Calibri" w:hAnsi="Calibri"/>
                <w:color w:val="000000"/>
                <w:sz w:val="18"/>
              </w:rPr>
              <w:t>Total cost predictability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6D3838" w14:textId="77777777" w:rsidR="009A378B" w:rsidRDefault="00000000">
            <w:pPr>
              <w:jc w:val="center"/>
            </w:pPr>
            <w:r>
              <w:rPr>
                <w:rFonts w:ascii="Calibri" w:hAnsi="Calibri"/>
                <w:b/>
                <w:color w:val="000000"/>
                <w:sz w:val="18"/>
              </w:rPr>
              <w:t>5%</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128207" w14:textId="77777777" w:rsidR="009A378B" w:rsidRDefault="00000000">
            <w:r>
              <w:rPr>
                <w:rFonts w:ascii="Calibri" w:hAnsi="Calibri"/>
                <w:color w:val="000000"/>
                <w:sz w:val="18"/>
              </w:rPr>
              <w:t>Transparent unit pricing per 1,000 tokens with no standing capacity commitments or hidden idle charges.</w:t>
            </w:r>
          </w:p>
        </w:tc>
      </w:tr>
    </w:tbl>
    <w:p w14:paraId="0560E631" w14:textId="77777777" w:rsidR="009A378B" w:rsidRDefault="009A378B">
      <w:pPr>
        <w:spacing w:after="160"/>
      </w:pPr>
    </w:p>
    <w:p w14:paraId="716B9BF9" w14:textId="77777777" w:rsidR="009A378B" w:rsidRDefault="00000000">
      <w:pPr>
        <w:spacing w:after="80"/>
      </w:pPr>
      <w:r>
        <w:rPr>
          <w:rFonts w:ascii="Calibri" w:hAnsi="Calibri"/>
          <w:b/>
          <w:color w:val="1F3864"/>
          <w:sz w:val="24"/>
        </w:rPr>
        <w:t>4.1. AI-Specific Technical Security &amp; Red-Teaming Due Diligence</w:t>
      </w:r>
    </w:p>
    <w:p w14:paraId="484B85CF" w14:textId="77777777" w:rsidR="009A378B" w:rsidRDefault="00000000">
      <w:pPr>
        <w:spacing w:after="120"/>
      </w:pPr>
      <w:r>
        <w:rPr>
          <w:rFonts w:ascii="Calibri" w:hAnsi="Calibri"/>
          <w:sz w:val="20"/>
        </w:rPr>
        <w:t>In accordance with MAS TRM Chapter 5 and ISO/IEC 42001 Clause 8.3, vendor assessment requires verifying that third-party AI systems have undergone specialized adversarial testing. The AI-CoE and Security Architecture inspect the following vendor testing artifacts prior to procurement approval:</w:t>
      </w:r>
    </w:p>
    <w:tbl>
      <w:tblPr>
        <w:tblW w:w="0" w:type="auto"/>
        <w:jc w:val="center"/>
        <w:tblLook w:val="04A0" w:firstRow="1" w:lastRow="0" w:firstColumn="1" w:lastColumn="0" w:noHBand="0" w:noVBand="1"/>
      </w:tblPr>
      <w:tblGrid>
        <w:gridCol w:w="3312"/>
        <w:gridCol w:w="3312"/>
        <w:gridCol w:w="3312"/>
      </w:tblGrid>
      <w:tr w:rsidR="009A378B" w14:paraId="4CC508C6"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45934D6" w14:textId="77777777" w:rsidR="009A378B" w:rsidRDefault="00000000">
            <w:pPr>
              <w:jc w:val="center"/>
            </w:pPr>
            <w:r>
              <w:rPr>
                <w:rFonts w:ascii="Calibri" w:hAnsi="Calibri"/>
                <w:b/>
                <w:color w:val="FFFFFF"/>
                <w:sz w:val="19"/>
              </w:rPr>
              <w:t>AI Security Attack Vector</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D4CB907" w14:textId="77777777" w:rsidR="009A378B" w:rsidRDefault="00000000">
            <w:r>
              <w:rPr>
                <w:rFonts w:ascii="Calibri" w:hAnsi="Calibri"/>
                <w:b/>
                <w:color w:val="FFFFFF"/>
                <w:sz w:val="19"/>
              </w:rPr>
              <w:t>Vendor Assessment Requirement</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3631FBA" w14:textId="77777777" w:rsidR="009A378B" w:rsidRDefault="00000000">
            <w:r>
              <w:rPr>
                <w:rFonts w:ascii="Calibri" w:hAnsi="Calibri"/>
                <w:b/>
                <w:color w:val="FFFFFF"/>
                <w:sz w:val="19"/>
              </w:rPr>
              <w:t>CDA Assessment Finding</w:t>
            </w:r>
          </w:p>
        </w:tc>
      </w:tr>
      <w:tr w:rsidR="009A378B" w14:paraId="6DFF6F6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DEE647A" w14:textId="77777777" w:rsidR="009A378B" w:rsidRDefault="00000000">
            <w:r>
              <w:rPr>
                <w:rFonts w:ascii="Calibri" w:hAnsi="Calibri"/>
                <w:b/>
                <w:color w:val="1F3864"/>
                <w:sz w:val="18"/>
              </w:rPr>
              <w:t>Prompt Injection &amp; Jailbreaking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918045" w14:textId="77777777" w:rsidR="009A378B" w:rsidRDefault="00000000">
            <w:r>
              <w:rPr>
                <w:rFonts w:ascii="Calibri" w:hAnsi="Calibri"/>
                <w:color w:val="000000"/>
                <w:sz w:val="18"/>
              </w:rPr>
              <w:t>Independent third-party red-teaming report evaluating direct and indirect prompt injection resistance.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1F2E31B" w14:textId="77777777" w:rsidR="009A378B" w:rsidRDefault="00000000">
            <w:r>
              <w:rPr>
                <w:rFonts w:ascii="Calibri" w:hAnsi="Calibri"/>
                <w:color w:val="000000"/>
                <w:sz w:val="18"/>
              </w:rPr>
              <w:t>Verified — Bedrock Guardrails enforce input sanitization and regex token boundaries.</w:t>
            </w:r>
          </w:p>
        </w:tc>
      </w:tr>
      <w:tr w:rsidR="009A378B" w14:paraId="1CEAEE58"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B60BDA4" w14:textId="77777777" w:rsidR="009A378B" w:rsidRDefault="00000000">
            <w:r>
              <w:rPr>
                <w:rFonts w:ascii="Calibri" w:hAnsi="Calibri"/>
                <w:b/>
                <w:color w:val="1F3864"/>
                <w:sz w:val="18"/>
              </w:rPr>
              <w:t>Model Extraction &amp; Theft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95841E0" w14:textId="77777777" w:rsidR="009A378B" w:rsidRDefault="00000000">
            <w:r>
              <w:rPr>
                <w:rFonts w:ascii="Calibri" w:hAnsi="Calibri"/>
                <w:color w:val="000000"/>
                <w:sz w:val="18"/>
              </w:rPr>
              <w:t>Rate limiting, query-pattern anomaly detection, and anti-scraping controls to prevent model reconstruction.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E40D9C" w14:textId="77777777" w:rsidR="009A378B" w:rsidRDefault="00000000">
            <w:r>
              <w:rPr>
                <w:rFonts w:ascii="Calibri" w:hAnsi="Calibri"/>
                <w:color w:val="000000"/>
                <w:sz w:val="18"/>
              </w:rPr>
              <w:t>Verified — AWS Bedrock API rate limits enforced; per-identity quotas active.</w:t>
            </w:r>
          </w:p>
        </w:tc>
      </w:tr>
      <w:tr w:rsidR="009A378B" w14:paraId="74A4C52F"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BC6632F" w14:textId="77777777" w:rsidR="009A378B" w:rsidRDefault="00000000">
            <w:r>
              <w:rPr>
                <w:rFonts w:ascii="Calibri" w:hAnsi="Calibri"/>
                <w:b/>
                <w:color w:val="1F3864"/>
                <w:sz w:val="18"/>
              </w:rPr>
              <w:t>Data Poisoning Vulnerability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4D7EB47" w14:textId="77777777" w:rsidR="009A378B" w:rsidRDefault="00000000">
            <w:r>
              <w:rPr>
                <w:rFonts w:ascii="Calibri" w:hAnsi="Calibri"/>
                <w:color w:val="000000"/>
                <w:sz w:val="18"/>
              </w:rPr>
              <w:t>Audit of foundation model pre-training data filtering, content moderation, and synthetic data provenance.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69B72A" w14:textId="77777777" w:rsidR="009A378B" w:rsidRDefault="00000000">
            <w:r>
              <w:rPr>
                <w:rFonts w:ascii="Calibri" w:hAnsi="Calibri"/>
                <w:color w:val="000000"/>
                <w:sz w:val="18"/>
              </w:rPr>
              <w:t>Verified — Vendor publishes training data filtering criteria and exclusion lists.</w:t>
            </w:r>
          </w:p>
        </w:tc>
      </w:tr>
      <w:tr w:rsidR="009A378B" w14:paraId="3E0ECB86"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02D90BC" w14:textId="77777777" w:rsidR="009A378B" w:rsidRDefault="00000000">
            <w:r>
              <w:rPr>
                <w:rFonts w:ascii="Calibri" w:hAnsi="Calibri"/>
                <w:b/>
                <w:color w:val="1F3864"/>
                <w:sz w:val="18"/>
              </w:rPr>
              <w:t>Model Inversion &amp; Membership Inference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167575" w14:textId="77777777" w:rsidR="009A378B" w:rsidRDefault="00000000">
            <w:r>
              <w:rPr>
                <w:rFonts w:ascii="Calibri" w:hAnsi="Calibri"/>
                <w:color w:val="000000"/>
                <w:sz w:val="18"/>
              </w:rPr>
              <w:t>Empirical testing demonstrating that individual training data records cannot be reconstructed from outputs.</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A4D867" w14:textId="77777777" w:rsidR="009A378B" w:rsidRDefault="00000000">
            <w:r>
              <w:rPr>
                <w:rFonts w:ascii="Calibri" w:hAnsi="Calibri"/>
                <w:color w:val="000000"/>
                <w:sz w:val="18"/>
              </w:rPr>
              <w:t>Verified — Differential privacy protections evaluated; no applicant PII present in vendor weights.</w:t>
            </w:r>
          </w:p>
        </w:tc>
      </w:tr>
    </w:tbl>
    <w:p w14:paraId="58A2A0EE" w14:textId="77777777" w:rsidR="009A378B" w:rsidRDefault="009A378B"/>
    <w:p w14:paraId="7204AEB6" w14:textId="77777777" w:rsidR="009A378B" w:rsidRDefault="00000000">
      <w:pPr>
        <w:spacing w:after="80"/>
      </w:pPr>
      <w:r>
        <w:rPr>
          <w:rFonts w:ascii="Calibri" w:hAnsi="Calibri"/>
          <w:b/>
          <w:color w:val="1F3864"/>
          <w:sz w:val="28"/>
        </w:rPr>
        <w:t>5. Disqualifying Conditions &amp; Mandatory Contractual Provisions</w:t>
      </w:r>
    </w:p>
    <w:p w14:paraId="38AF7DAB" w14:textId="77777777" w:rsidR="009A378B" w:rsidRDefault="00000000">
      <w:pPr>
        <w:spacing w:after="80"/>
      </w:pPr>
      <w:r>
        <w:rPr>
          <w:rFonts w:ascii="Calibri" w:hAnsi="Calibri"/>
          <w:sz w:val="20"/>
        </w:rPr>
        <w:t>Disqualifying conditions are screened before scoring. A candidate failing any of the following five conditions is eliminated immediately — there is no compensating high score elsewhere:</w:t>
      </w:r>
    </w:p>
    <w:p w14:paraId="3F74E535" w14:textId="77777777" w:rsidR="009A378B" w:rsidRDefault="00000000">
      <w:pPr>
        <w:spacing w:after="60"/>
      </w:pPr>
      <w:r>
        <w:rPr>
          <w:rFonts w:ascii="Calibri" w:hAnsi="Calibri"/>
          <w:b/>
          <w:color w:val="9C0006"/>
          <w:sz w:val="19"/>
        </w:rPr>
        <w:t>• Provider will not provide an unconditional contractual guarantee that customer inference data is excluded from model training.</w:t>
      </w:r>
    </w:p>
    <w:p w14:paraId="028A052A" w14:textId="77777777" w:rsidR="009A378B" w:rsidRDefault="00000000">
      <w:pPr>
        <w:spacing w:after="60"/>
      </w:pPr>
      <w:r>
        <w:rPr>
          <w:rFonts w:ascii="Calibri" w:hAnsi="Calibri"/>
          <w:b/>
          <w:color w:val="9C0006"/>
          <w:sz w:val="19"/>
        </w:rPr>
        <w:lastRenderedPageBreak/>
        <w:t>• Provider will not guarantee data and operational residency within the designated sovereign jurisdiction (Singapore ap-southeast-1).</w:t>
      </w:r>
    </w:p>
    <w:p w14:paraId="03F4C6BF" w14:textId="77777777" w:rsidR="009A378B" w:rsidRDefault="00000000">
      <w:pPr>
        <w:spacing w:after="60"/>
      </w:pPr>
      <w:r>
        <w:rPr>
          <w:rFonts w:ascii="Calibri" w:hAnsi="Calibri"/>
          <w:b/>
          <w:color w:val="9C0006"/>
          <w:sz w:val="19"/>
        </w:rPr>
        <w:t>• Provider will not supply technical model cards, training-data characterisations, or evaluation methodologies sufficient to discharge EU AI Act Article 26.</w:t>
      </w:r>
    </w:p>
    <w:p w14:paraId="6079407D" w14:textId="77777777" w:rsidR="009A378B" w:rsidRDefault="00000000">
      <w:pPr>
        <w:spacing w:after="60"/>
      </w:pPr>
      <w:r>
        <w:rPr>
          <w:rFonts w:ascii="Calibri" w:hAnsi="Calibri"/>
          <w:b/>
          <w:color w:val="9C0006"/>
          <w:sz w:val="19"/>
        </w:rPr>
        <w:t>• No published versioning policy or binding commitment to provide at least 90 days advance notice before model deprecation.</w:t>
      </w:r>
    </w:p>
    <w:p w14:paraId="26ABE799" w14:textId="77777777" w:rsidR="009A378B" w:rsidRDefault="00000000">
      <w:pPr>
        <w:spacing w:after="60"/>
      </w:pPr>
      <w:r>
        <w:rPr>
          <w:rFonts w:ascii="Calibri" w:hAnsi="Calibri"/>
          <w:b/>
          <w:color w:val="9C0006"/>
          <w:sz w:val="19"/>
        </w:rPr>
        <w:t>• Model architecture cannot operate natively with the platform-level control layer (AWS Bedrock Guardrails).</w:t>
      </w:r>
    </w:p>
    <w:p w14:paraId="2BE0AE3A" w14:textId="77777777" w:rsidR="009A378B" w:rsidRDefault="00000000">
      <w:pPr>
        <w:spacing w:after="160"/>
      </w:pPr>
      <w:r>
        <w:rPr>
          <w:rFonts w:ascii="Calibri" w:hAnsi="Calibri"/>
          <w:i/>
          <w:sz w:val="19"/>
        </w:rPr>
        <w:t>These disqualifiers are enforced in practice: a separate use case in the same review cycle (CV screening for retail loan officers) was rejected outright on condition 3. The vendor claimed its training-data documentation was proprietary and offered a commercial financial indemnity instead. The indemnity was rejected: an indemnity transfers financial risk, not regulatory compliance obligations.</w:t>
      </w:r>
    </w:p>
    <w:p w14:paraId="6588B226" w14:textId="77777777" w:rsidR="009A378B" w:rsidRDefault="00000000">
      <w:pPr>
        <w:spacing w:after="80"/>
      </w:pPr>
      <w:r>
        <w:rPr>
          <w:rFonts w:ascii="Calibri" w:hAnsi="Calibri"/>
          <w:b/>
          <w:color w:val="1F3864"/>
          <w:sz w:val="24"/>
        </w:rPr>
        <w:t>5.1. Mandatory AI-Specific Contractual Provisions &amp; DPA Covenants</w:t>
      </w:r>
    </w:p>
    <w:p w14:paraId="482735CB" w14:textId="77777777" w:rsidR="009A378B" w:rsidRDefault="00000000">
      <w:pPr>
        <w:spacing w:after="120"/>
      </w:pPr>
      <w:r>
        <w:rPr>
          <w:rFonts w:ascii="Calibri" w:hAnsi="Calibri"/>
          <w:sz w:val="20"/>
        </w:rPr>
        <w:t>All commercial agreements with AI platform vendors (AWS) and third-party data suppliers (Credit Bureau Singapore / ExFin Data) must incorporate the following non-negotiable clauses within the Master Services Agreement (MSA) and Data Processing Agreement (DPA):</w:t>
      </w:r>
    </w:p>
    <w:tbl>
      <w:tblPr>
        <w:tblW w:w="0" w:type="auto"/>
        <w:jc w:val="center"/>
        <w:tblLook w:val="04A0" w:firstRow="1" w:lastRow="0" w:firstColumn="1" w:lastColumn="0" w:noHBand="0" w:noVBand="1"/>
      </w:tblPr>
      <w:tblGrid>
        <w:gridCol w:w="4968"/>
        <w:gridCol w:w="4968"/>
      </w:tblGrid>
      <w:tr w:rsidR="009A378B" w14:paraId="5A71D03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3478C5B" w14:textId="77777777" w:rsidR="009A378B" w:rsidRDefault="00000000">
            <w:pPr>
              <w:jc w:val="center"/>
            </w:pPr>
            <w:r>
              <w:rPr>
                <w:rFonts w:ascii="Calibri" w:hAnsi="Calibri"/>
                <w:b/>
                <w:color w:val="FFFFFF"/>
                <w:sz w:val="19"/>
              </w:rPr>
              <w:t>Mandatory Contractual Clause</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AE05036" w14:textId="77777777" w:rsidR="009A378B" w:rsidRDefault="00000000">
            <w:r>
              <w:rPr>
                <w:rFonts w:ascii="Calibri" w:hAnsi="Calibri"/>
                <w:b/>
                <w:color w:val="FFFFFF"/>
                <w:sz w:val="19"/>
              </w:rPr>
              <w:t>Contractual Scope &amp; Legal Enforcement Standard</w:t>
            </w:r>
          </w:p>
        </w:tc>
      </w:tr>
      <w:tr w:rsidR="009A378B" w14:paraId="641FD5A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B4E2C24" w14:textId="77777777" w:rsidR="009A378B" w:rsidRDefault="00000000">
            <w:r>
              <w:rPr>
                <w:rFonts w:ascii="Calibri" w:hAnsi="Calibri"/>
                <w:b/>
                <w:color w:val="1F3864"/>
                <w:sz w:val="18"/>
              </w:rPr>
              <w:t>Training Exclusion Covenant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005092" w14:textId="77777777" w:rsidR="009A378B" w:rsidRDefault="00000000">
            <w:r>
              <w:rPr>
                <w:rFonts w:ascii="Calibri" w:hAnsi="Calibri"/>
                <w:color w:val="000000"/>
                <w:sz w:val="18"/>
              </w:rPr>
              <w:t>Strict prohibition on utilizing bank prompts, embeddings, or applicant rationales to train, fine-tune, or improve vendor foundation models.</w:t>
            </w:r>
          </w:p>
        </w:tc>
      </w:tr>
      <w:tr w:rsidR="009A378B" w14:paraId="3FAC1732"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454D8CA" w14:textId="77777777" w:rsidR="009A378B" w:rsidRDefault="00000000">
            <w:r>
              <w:rPr>
                <w:rFonts w:ascii="Calibri" w:hAnsi="Calibri"/>
                <w:b/>
                <w:color w:val="1F3864"/>
                <w:sz w:val="18"/>
              </w:rPr>
              <w:t>Model Version Pinning &amp; Rollback Rights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0D84CA" w14:textId="77777777" w:rsidR="009A378B" w:rsidRDefault="00000000">
            <w:r>
              <w:rPr>
                <w:rFonts w:ascii="Calibri" w:hAnsi="Calibri"/>
                <w:color w:val="000000"/>
                <w:sz w:val="18"/>
              </w:rPr>
              <w:t>Contractual commitment guaranteeing access to pinned model versions and immediate rollback capability in the event of an operational defect.</w:t>
            </w:r>
          </w:p>
        </w:tc>
      </w:tr>
      <w:tr w:rsidR="009A378B" w14:paraId="3655BE7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8029C86" w14:textId="77777777" w:rsidR="009A378B" w:rsidRDefault="00000000">
            <w:r>
              <w:rPr>
                <w:rFonts w:ascii="Calibri" w:hAnsi="Calibri"/>
                <w:b/>
                <w:color w:val="1F3864"/>
                <w:sz w:val="18"/>
              </w:rPr>
              <w:t>Deprecation Notification SLA</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73BA5D6" w14:textId="77777777" w:rsidR="009A378B" w:rsidRDefault="00000000">
            <w:r>
              <w:rPr>
                <w:rFonts w:ascii="Calibri" w:hAnsi="Calibri"/>
                <w:color w:val="000000"/>
                <w:sz w:val="18"/>
              </w:rPr>
              <w:t>Mandatory minimum 90-day advance written notice prior to retiring, deprecating, or modifying any foundation model snapshot.</w:t>
            </w:r>
          </w:p>
        </w:tc>
      </w:tr>
      <w:tr w:rsidR="009A378B" w14:paraId="17280100"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27885CB" w14:textId="77777777" w:rsidR="009A378B" w:rsidRDefault="00000000">
            <w:r>
              <w:rPr>
                <w:rFonts w:ascii="Calibri" w:hAnsi="Calibri"/>
                <w:b/>
                <w:color w:val="1F3864"/>
                <w:sz w:val="18"/>
              </w:rPr>
              <w:t>Right to Independent Audit &amp; Inspection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4B176D1" w14:textId="77777777" w:rsidR="009A378B" w:rsidRDefault="00000000">
            <w:r>
              <w:rPr>
                <w:rFonts w:ascii="Calibri" w:hAnsi="Calibri"/>
                <w:color w:val="000000"/>
                <w:sz w:val="18"/>
              </w:rPr>
              <w:t>Unrestricted right for Bank Internal Audit and regulatory supervisors to inspect vendor SOC 2 Type II reports, ISO 42001 certifications, and model documentation.</w:t>
            </w:r>
          </w:p>
        </w:tc>
      </w:tr>
      <w:tr w:rsidR="009A378B" w14:paraId="4C41E4B4"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4BB2501" w14:textId="77777777" w:rsidR="009A378B" w:rsidRDefault="00000000">
            <w:r>
              <w:rPr>
                <w:rFonts w:ascii="Calibri" w:hAnsi="Calibri"/>
                <w:b/>
                <w:color w:val="1F3864"/>
                <w:sz w:val="18"/>
              </w:rPr>
              <w:t>24-Hour Security &amp; Failure Notification SLA</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A87868E" w14:textId="77777777" w:rsidR="009A378B" w:rsidRDefault="00000000">
            <w:r>
              <w:rPr>
                <w:rFonts w:ascii="Calibri" w:hAnsi="Calibri"/>
                <w:color w:val="000000"/>
                <w:sz w:val="18"/>
              </w:rPr>
              <w:t>Obligation for vendor to notify bank within 24 hours of any security compromise, API outage, or unauthorized data access affecting bank traffic.</w:t>
            </w:r>
          </w:p>
        </w:tc>
      </w:tr>
      <w:tr w:rsidR="009A378B" w14:paraId="79036A50"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6EFB58B" w14:textId="77777777" w:rsidR="009A378B" w:rsidRDefault="00000000">
            <w:r>
              <w:rPr>
                <w:rFonts w:ascii="Calibri" w:hAnsi="Calibri"/>
                <w:b/>
                <w:color w:val="1F3864"/>
                <w:sz w:val="18"/>
              </w:rPr>
              <w:t>Intellectual Property &amp; Output Ownership</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145B68" w14:textId="77777777" w:rsidR="009A378B" w:rsidRDefault="00000000">
            <w:r>
              <w:rPr>
                <w:rFonts w:ascii="Calibri" w:hAnsi="Calibri"/>
                <w:color w:val="000000"/>
                <w:sz w:val="18"/>
              </w:rPr>
              <w:t>Unconditional bank ownership of all generated narrative rationales, vector index embeddings, and model card documentation.</w:t>
            </w:r>
          </w:p>
        </w:tc>
      </w:tr>
    </w:tbl>
    <w:p w14:paraId="13126E7C" w14:textId="77777777" w:rsidR="009A378B" w:rsidRDefault="009A378B"/>
    <w:p w14:paraId="4525426B" w14:textId="77777777" w:rsidR="009A378B" w:rsidRDefault="00000000">
      <w:pPr>
        <w:spacing w:after="80"/>
      </w:pPr>
      <w:r>
        <w:rPr>
          <w:rFonts w:ascii="Calibri" w:hAnsi="Calibri"/>
          <w:b/>
          <w:color w:val="1F3864"/>
          <w:sz w:val="28"/>
        </w:rPr>
        <w:t>6. Provider and Deployer Obligation Boundary Matrix</w:t>
      </w:r>
    </w:p>
    <w:p w14:paraId="4171E5A0" w14:textId="77777777" w:rsidR="009A378B" w:rsidRDefault="00000000">
      <w:pPr>
        <w:spacing w:after="120"/>
      </w:pPr>
      <w:r>
        <w:rPr>
          <w:rFonts w:ascii="Calibri" w:hAnsi="Calibri"/>
          <w:sz w:val="20"/>
        </w:rPr>
        <w:lastRenderedPageBreak/>
        <w:t>To satisfy EU AI Act Articles 25, 26, and 53, and MAS TRM Chapter 5, the boundary between vendor obligations and bank deployer responsibilities is partitioned across all system components:</w:t>
      </w:r>
    </w:p>
    <w:tbl>
      <w:tblPr>
        <w:tblW w:w="0" w:type="auto"/>
        <w:jc w:val="center"/>
        <w:tblLook w:val="04A0" w:firstRow="1" w:lastRow="0" w:firstColumn="1" w:lastColumn="0" w:noHBand="0" w:noVBand="1"/>
      </w:tblPr>
      <w:tblGrid>
        <w:gridCol w:w="3312"/>
        <w:gridCol w:w="3312"/>
        <w:gridCol w:w="3312"/>
      </w:tblGrid>
      <w:tr w:rsidR="009A378B" w14:paraId="749AD631" w14:textId="77777777">
        <w:trPr>
          <w:jc w:val="center"/>
        </w:trPr>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9831466" w14:textId="77777777" w:rsidR="009A378B" w:rsidRDefault="00000000">
            <w:pPr>
              <w:jc w:val="center"/>
            </w:pPr>
            <w:r>
              <w:rPr>
                <w:rFonts w:ascii="Calibri" w:hAnsi="Calibri"/>
                <w:b/>
                <w:color w:val="FFFFFF"/>
                <w:sz w:val="19"/>
              </w:rPr>
              <w:t>Obligation &amp; Regulatory Scope</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4B26EC3" w14:textId="77777777" w:rsidR="009A378B" w:rsidRDefault="00000000">
            <w:pPr>
              <w:jc w:val="center"/>
            </w:pPr>
            <w:r>
              <w:rPr>
                <w:rFonts w:ascii="Calibri" w:hAnsi="Calibri"/>
                <w:b/>
                <w:color w:val="FFFFFF"/>
                <w:sz w:val="19"/>
              </w:rPr>
              <w:t>Legal Accountability</w:t>
            </w:r>
          </w:p>
        </w:tc>
        <w:tc>
          <w:tcPr>
            <w:tcW w:w="3312"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C50034A" w14:textId="77777777" w:rsidR="009A378B" w:rsidRDefault="00000000">
            <w:r>
              <w:rPr>
                <w:rFonts w:ascii="Calibri" w:hAnsi="Calibri"/>
                <w:b/>
                <w:color w:val="FFFFFF"/>
                <w:sz w:val="19"/>
              </w:rPr>
              <w:t>Consequence If Vendor Fails to Deliver</w:t>
            </w:r>
          </w:p>
        </w:tc>
      </w:tr>
      <w:tr w:rsidR="009A378B" w14:paraId="2F9E3EAA"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180B5C" w14:textId="77777777" w:rsidR="009A378B" w:rsidRDefault="00000000">
            <w:r>
              <w:rPr>
                <w:rFonts w:ascii="Calibri" w:hAnsi="Calibri"/>
                <w:b/>
                <w:color w:val="1F3864"/>
                <w:sz w:val="18"/>
              </w:rPr>
              <w:t>Technical documentation of foundation model</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C78C879" w14:textId="77777777" w:rsidR="009A378B" w:rsidRDefault="00000000">
            <w:r>
              <w:rPr>
                <w:rFonts w:ascii="Calibri" w:hAnsi="Calibri"/>
                <w:color w:val="000000"/>
                <w:sz w:val="18"/>
              </w:rPr>
              <w:t>Provider (Art. 53)</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40AFB421" w14:textId="77777777" w:rsidR="009A378B" w:rsidRDefault="00000000">
            <w:r>
              <w:rPr>
                <w:rFonts w:ascii="Calibri" w:hAnsi="Calibri"/>
                <w:color w:val="9C0006"/>
                <w:sz w:val="18"/>
              </w:rPr>
              <w:t>Bank deployer cannot complete Art. 11 technical file. Disqualifying defect.</w:t>
            </w:r>
          </w:p>
        </w:tc>
      </w:tr>
      <w:tr w:rsidR="009A378B" w14:paraId="0A9E39D7"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D6D014" w14:textId="77777777" w:rsidR="009A378B" w:rsidRDefault="00000000">
            <w:r>
              <w:rPr>
                <w:rFonts w:ascii="Calibri" w:hAnsi="Calibri"/>
                <w:b/>
                <w:color w:val="1F3864"/>
                <w:sz w:val="18"/>
              </w:rPr>
              <w:t>Training data summary and copyright policy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F984AE" w14:textId="77777777" w:rsidR="009A378B" w:rsidRDefault="00000000">
            <w:r>
              <w:rPr>
                <w:rFonts w:ascii="Calibri" w:hAnsi="Calibri"/>
                <w:color w:val="000000"/>
                <w:sz w:val="18"/>
              </w:rPr>
              <w:t>Provider (Art. 53)</w:t>
            </w:r>
          </w:p>
        </w:tc>
        <w:tc>
          <w:tcPr>
            <w:tcW w:w="3312"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4263D2E4" w14:textId="77777777" w:rsidR="009A378B" w:rsidRDefault="00000000">
            <w:r>
              <w:rPr>
                <w:rFonts w:ascii="Calibri" w:hAnsi="Calibri"/>
                <w:color w:val="9C0006"/>
                <w:sz w:val="18"/>
              </w:rPr>
              <w:t>Deployer data governance assessment is incomplete. Disqualifying defect.</w:t>
            </w:r>
          </w:p>
        </w:tc>
      </w:tr>
      <w:tr w:rsidR="009A378B" w14:paraId="7D725497"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1DABBE" w14:textId="77777777" w:rsidR="009A378B" w:rsidRDefault="00000000">
            <w:r>
              <w:rPr>
                <w:rFonts w:ascii="Calibri" w:hAnsi="Calibri"/>
                <w:b/>
                <w:color w:val="1F3864"/>
                <w:sz w:val="18"/>
              </w:rPr>
              <w:t>Risk management of deployed credit system</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529288" w14:textId="77777777" w:rsidR="009A378B" w:rsidRDefault="00000000">
            <w:r>
              <w:rPr>
                <w:rFonts w:ascii="Calibri" w:hAnsi="Calibri"/>
                <w:color w:val="000000"/>
                <w:sz w:val="18"/>
              </w:rPr>
              <w:t>Deployer (Art. 9, Art. 26)</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CC44A4" w14:textId="77777777" w:rsidR="009A378B" w:rsidRDefault="00000000">
            <w:r>
              <w:rPr>
                <w:rFonts w:ascii="Calibri" w:hAnsi="Calibri"/>
                <w:color w:val="000000"/>
                <w:sz w:val="18"/>
              </w:rPr>
              <w:t>Cannot be outsourced to vendor regardless of contractual indemnities.</w:t>
            </w:r>
          </w:p>
        </w:tc>
      </w:tr>
      <w:tr w:rsidR="009A378B" w14:paraId="04D14761"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241F5D" w14:textId="77777777" w:rsidR="009A378B" w:rsidRDefault="00000000">
            <w:r>
              <w:rPr>
                <w:rFonts w:ascii="Calibri" w:hAnsi="Calibri"/>
                <w:b/>
                <w:color w:val="1F3864"/>
                <w:sz w:val="18"/>
              </w:rPr>
              <w:t>Human oversight execution in production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D40C06" w14:textId="77777777" w:rsidR="009A378B" w:rsidRDefault="00000000">
            <w:r>
              <w:rPr>
                <w:rFonts w:ascii="Calibri" w:hAnsi="Calibri"/>
                <w:color w:val="000000"/>
                <w:sz w:val="18"/>
              </w:rPr>
              <w:t>Deployer (Art. 14)</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DE28D5" w14:textId="77777777" w:rsidR="009A378B" w:rsidRDefault="00000000">
            <w:r>
              <w:rPr>
                <w:rFonts w:ascii="Calibri" w:hAnsi="Calibri"/>
                <w:color w:val="000000"/>
                <w:sz w:val="18"/>
              </w:rPr>
              <w:t>Vendor has zero operational visibility into credit underwriting adjudications.</w:t>
            </w:r>
          </w:p>
        </w:tc>
      </w:tr>
      <w:tr w:rsidR="009A378B" w14:paraId="43472281"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ABF91A" w14:textId="77777777" w:rsidR="009A378B" w:rsidRDefault="00000000">
            <w:r>
              <w:rPr>
                <w:rFonts w:ascii="Calibri" w:hAnsi="Calibri"/>
                <w:b/>
                <w:color w:val="1F3864"/>
                <w:sz w:val="18"/>
              </w:rPr>
              <w:t>Runtime monitoring &amp; serious incident reporting</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80425F" w14:textId="77777777" w:rsidR="009A378B" w:rsidRDefault="00000000">
            <w:r>
              <w:rPr>
                <w:rFonts w:ascii="Calibri" w:hAnsi="Calibri"/>
                <w:color w:val="000000"/>
                <w:sz w:val="18"/>
              </w:rPr>
              <w:t>Deployer (Art. 26(5), Art. 73)</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67F0DF4" w14:textId="77777777" w:rsidR="009A378B" w:rsidRDefault="00000000">
            <w:r>
              <w:rPr>
                <w:rFonts w:ascii="Calibri" w:hAnsi="Calibri"/>
                <w:color w:val="000000"/>
                <w:sz w:val="18"/>
              </w:rPr>
              <w:t>Vendor platform telemetry is not a substitute for deployer incident reporting.</w:t>
            </w:r>
          </w:p>
        </w:tc>
      </w:tr>
      <w:tr w:rsidR="009A378B" w14:paraId="0B63D366"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03990A" w14:textId="77777777" w:rsidR="009A378B" w:rsidRDefault="00000000">
            <w:r>
              <w:rPr>
                <w:rFonts w:ascii="Calibri" w:hAnsi="Calibri"/>
                <w:b/>
                <w:color w:val="1F3864"/>
                <w:sz w:val="18"/>
              </w:rPr>
              <w:t>Fairness testing on lending use case</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12D6DE" w14:textId="77777777" w:rsidR="009A378B" w:rsidRDefault="00000000">
            <w:r>
              <w:rPr>
                <w:rFonts w:ascii="Calibri" w:hAnsi="Calibri"/>
                <w:color w:val="000000"/>
                <w:sz w:val="18"/>
              </w:rPr>
              <w:t>Deployer</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C9F25F" w14:textId="77777777" w:rsidR="009A378B" w:rsidRDefault="00000000">
            <w:r>
              <w:rPr>
                <w:rFonts w:ascii="Calibri" w:hAnsi="Calibri"/>
                <w:color w:val="000000"/>
                <w:sz w:val="18"/>
              </w:rPr>
              <w:t>Vendor model evaluation is on generic NLP benchmarks, not bank credit populations.</w:t>
            </w:r>
          </w:p>
        </w:tc>
      </w:tr>
      <w:tr w:rsidR="009A378B" w14:paraId="486408C7"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B19BF7" w14:textId="77777777" w:rsidR="009A378B" w:rsidRDefault="00000000">
            <w:r>
              <w:rPr>
                <w:rFonts w:ascii="Calibri" w:hAnsi="Calibri"/>
                <w:b/>
                <w:color w:val="1F3864"/>
                <w:sz w:val="18"/>
              </w:rPr>
              <w:t>Deterministic scoring model validation</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B91724" w14:textId="77777777" w:rsidR="009A378B" w:rsidRDefault="00000000">
            <w:r>
              <w:rPr>
                <w:rFonts w:ascii="Calibri" w:hAnsi="Calibri"/>
                <w:color w:val="000000"/>
                <w:sz w:val="18"/>
              </w:rPr>
              <w:t>Deployer (In-house XGBoost)</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B993B2" w14:textId="77777777" w:rsidR="009A378B" w:rsidRDefault="00000000">
            <w:r>
              <w:rPr>
                <w:rFonts w:ascii="Calibri" w:hAnsi="Calibri"/>
                <w:color w:val="000000"/>
                <w:sz w:val="18"/>
              </w:rPr>
              <w:t>No external vendor involved; governed under internal Model Risk framework (A-18).</w:t>
            </w:r>
          </w:p>
        </w:tc>
      </w:tr>
      <w:tr w:rsidR="009A378B" w14:paraId="6716A69B" w14:textId="77777777">
        <w:trPr>
          <w:jc w:val="center"/>
        </w:trPr>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B19089" w14:textId="77777777" w:rsidR="009A378B" w:rsidRDefault="00000000">
            <w:r>
              <w:rPr>
                <w:rFonts w:ascii="Calibri" w:hAnsi="Calibri"/>
                <w:b/>
                <w:color w:val="1F3864"/>
                <w:sz w:val="18"/>
              </w:rPr>
              <w:t>External credit bureau data accuracy</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02B43A" w14:textId="77777777" w:rsidR="009A378B" w:rsidRDefault="00000000">
            <w:r>
              <w:rPr>
                <w:rFonts w:ascii="Calibri" w:hAnsi="Calibri"/>
                <w:color w:val="000000"/>
                <w:sz w:val="18"/>
              </w:rPr>
              <w:t>Shared (Bureau provider SLA / Deployer)</w:t>
            </w:r>
          </w:p>
        </w:tc>
        <w:tc>
          <w:tcPr>
            <w:tcW w:w="3312"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DC91AD1" w14:textId="77777777" w:rsidR="009A378B" w:rsidRDefault="00000000">
            <w:r>
              <w:rPr>
                <w:rFonts w:ascii="Calibri" w:hAnsi="Calibri"/>
                <w:color w:val="000000"/>
                <w:sz w:val="18"/>
              </w:rPr>
              <w:t>Data quality covenants in vendor SLA; bank validates feature integrity (A-14).</w:t>
            </w:r>
          </w:p>
        </w:tc>
      </w:tr>
    </w:tbl>
    <w:p w14:paraId="6B026A9D" w14:textId="77777777" w:rsidR="009A378B" w:rsidRDefault="009A378B">
      <w:pPr>
        <w:spacing w:after="120"/>
      </w:pPr>
    </w:p>
    <w:p w14:paraId="56C0EEDD" w14:textId="77777777" w:rsidR="009A378B" w:rsidRDefault="00000000">
      <w:r>
        <w:rPr>
          <w:rFonts w:ascii="Calibri" w:hAnsi="Calibri"/>
          <w:i/>
          <w:color w:val="9C0006"/>
          <w:sz w:val="19"/>
        </w:rPr>
        <w:t>⚠  EU AI Act Article 25 is the provision most often missed in third-party assessments: a deployer that substantially modifies a high-risk system, or places its own brand name on it without clearly distinguishing the underlying model, may itself become a legal provider with the full burden of provider obligations. For the narration layer, the assessment concluded the bank remains strictly a deployer — the model is used as supplied, with configuration rather than modification. That conclusion is formally recorded and re-assessed on any change to how the model is adapted. For the scoring layer, the bank is unambiguously the provider, because it built the model.</w:t>
      </w:r>
    </w:p>
    <w:p w14:paraId="4298686E" w14:textId="77777777" w:rsidR="009A378B" w:rsidRDefault="00000000">
      <w:pPr>
        <w:spacing w:after="80"/>
      </w:pPr>
      <w:r>
        <w:rPr>
          <w:rFonts w:ascii="Calibri" w:hAnsi="Calibri"/>
          <w:b/>
          <w:color w:val="1F3864"/>
          <w:sz w:val="28"/>
        </w:rPr>
        <w:t>7. Ongoing Vendor Assessment, Staleness Triggers, and Migration Strategy</w:t>
      </w:r>
    </w:p>
    <w:p w14:paraId="6BEB1D20" w14:textId="77777777" w:rsidR="009A378B" w:rsidRDefault="00000000">
      <w:pPr>
        <w:spacing w:after="60"/>
      </w:pPr>
      <w:r>
        <w:rPr>
          <w:rFonts w:ascii="Calibri" w:hAnsi="Calibri"/>
          <w:b/>
          <w:color w:val="1F3864"/>
          <w:sz w:val="19"/>
        </w:rPr>
        <w:t xml:space="preserve">• Annual Re-Assessment Cadence: </w:t>
      </w:r>
      <w:r>
        <w:rPr>
          <w:rFonts w:ascii="Calibri" w:hAnsi="Calibri"/>
          <w:sz w:val="19"/>
        </w:rPr>
        <w:t>Full re-run of vendor criteria annually, and immediately upon any corporate merger/acquisition, change of sub-processors, cloud hosting region modification, or contractual terms update.</w:t>
      </w:r>
    </w:p>
    <w:p w14:paraId="35C9344F" w14:textId="77777777" w:rsidR="009A378B" w:rsidRDefault="00000000">
      <w:pPr>
        <w:spacing w:after="60"/>
      </w:pPr>
      <w:r>
        <w:rPr>
          <w:rFonts w:ascii="Calibri" w:hAnsi="Calibri"/>
          <w:b/>
          <w:color w:val="1F3864"/>
          <w:sz w:val="19"/>
        </w:rPr>
        <w:lastRenderedPageBreak/>
        <w:t xml:space="preserve">• Verification Staleness Check (A-18): </w:t>
      </w:r>
      <w:r>
        <w:rPr>
          <w:rFonts w:ascii="Calibri" w:hAnsi="Calibri"/>
          <w:sz w:val="19"/>
        </w:rPr>
        <w:t>A vendor criterion past its re-verification date is treated as failed until evidence is restored, not as unchanged. (Three criteria currently overdue in A-18 are actively tracked as open findings in ACT-003).</w:t>
      </w:r>
    </w:p>
    <w:p w14:paraId="02E892E5" w14:textId="77777777" w:rsidR="009A378B" w:rsidRDefault="00000000">
      <w:pPr>
        <w:spacing w:after="60"/>
      </w:pPr>
      <w:r>
        <w:rPr>
          <w:rFonts w:ascii="Calibri" w:hAnsi="Calibri"/>
          <w:b/>
          <w:color w:val="1F3864"/>
          <w:sz w:val="19"/>
        </w:rPr>
        <w:t xml:space="preserve">• Deprecation Watch &amp; Migration Protocol: </w:t>
      </w:r>
      <w:r>
        <w:rPr>
          <w:rFonts w:ascii="Calibri" w:hAnsi="Calibri"/>
          <w:sz w:val="19"/>
        </w:rPr>
        <w:t>Receipt of a foundation model deprecation notice immediately activates the Migration Playbook. The successor model candidate must be evaluated against criteria G-01 through G-07, with full regression, grounding, and fairness re-testing prior to production cutover.</w:t>
      </w:r>
    </w:p>
    <w:p w14:paraId="2F5806A7" w14:textId="77777777" w:rsidR="009A378B" w:rsidRDefault="00000000">
      <w:pPr>
        <w:spacing w:after="60"/>
      </w:pPr>
      <w:r>
        <w:rPr>
          <w:rFonts w:ascii="Calibri" w:hAnsi="Calibri"/>
          <w:b/>
          <w:color w:val="1F3864"/>
          <w:sz w:val="19"/>
        </w:rPr>
        <w:t xml:space="preserve">• Volume-Triggered Sourcing Re-evaluation: </w:t>
      </w:r>
      <w:r>
        <w:rPr>
          <w:rFonts w:ascii="Calibri" w:hAnsi="Calibri"/>
          <w:sz w:val="19"/>
        </w:rPr>
        <w:t>The Build vs Buy position is formally re-evaluated at the rollout decision point. High production volume materially shifts the economics of self-hosting, and an architecture chosen at pilot scale (~870k applicants) must not be assumed permanent without financial re-validation.</w:t>
      </w:r>
    </w:p>
    <w:sectPr w:rsidR="009A378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483248">
    <w:abstractNumId w:val="8"/>
  </w:num>
  <w:num w:numId="2" w16cid:durableId="2092773082">
    <w:abstractNumId w:val="6"/>
  </w:num>
  <w:num w:numId="3" w16cid:durableId="1255287042">
    <w:abstractNumId w:val="5"/>
  </w:num>
  <w:num w:numId="4" w16cid:durableId="672150310">
    <w:abstractNumId w:val="4"/>
  </w:num>
  <w:num w:numId="5" w16cid:durableId="508714517">
    <w:abstractNumId w:val="7"/>
  </w:num>
  <w:num w:numId="6" w16cid:durableId="1121529943">
    <w:abstractNumId w:val="3"/>
  </w:num>
  <w:num w:numId="7" w16cid:durableId="739794133">
    <w:abstractNumId w:val="2"/>
  </w:num>
  <w:num w:numId="8" w16cid:durableId="1571770438">
    <w:abstractNumId w:val="1"/>
  </w:num>
  <w:num w:numId="9" w16cid:durableId="57960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378B"/>
    <w:rsid w:val="00AA1D8D"/>
    <w:rsid w:val="00B47730"/>
    <w:rsid w:val="00CB0664"/>
    <w:rsid w:val="00E704F1"/>
    <w:rsid w:val="00EE7C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45CB3"/>
  <w14:defaultImageDpi w14:val="300"/>
  <w15:docId w15:val="{7E40F6C0-76B3-4568-BCB8-E07AB6D60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2411</Words>
  <Characters>13746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3</cp:revision>
  <dcterms:created xsi:type="dcterms:W3CDTF">2013-12-23T23:15:00Z</dcterms:created>
  <dcterms:modified xsi:type="dcterms:W3CDTF">2026-09-14T13:51:00Z</dcterms:modified>
  <cp:category/>
</cp:coreProperties>
</file>