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System Model Card</w:t>
      </w:r>
    </w:p>
    <w:p>
      <w:pPr>
        <w:spacing w:after="300"/>
      </w:pPr>
      <w:r>
        <w:rPr>
          <w:rFonts w:ascii="Calibri" w:cs="Calibri" w:eastAsia="Calibri" w:hAnsi="Calibri"/>
          <w:i/>
          <w:iCs/>
          <w:color w:val="44546A"/>
          <w:sz w:val="23"/>
          <w:szCs w:val="23"/>
        </w:rPr>
        <w:t xml:space="preserve">Credit Decisioning Assistant — Artefact A-19, v1.1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A-19</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Model Card — Credit Decisioning Assistant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Data Science</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Model Risk, on AIGC delegation</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Art.11 and Annex IV, Art.13 instructions for use, Art.15 accuracy and robustness; ISO/IEC 23053:2022; MAS TRM model documentation expectations; MAS FEAT Transparency</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2026-03-18</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Data Science</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Model Risk</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AIGC</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Superseded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Narration layer only</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v1.1</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2026-09-13</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Data Science</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Model Risk</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Pending</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Recreated for the hybrid architecture. Scoring layer evaluation, overfitting and underfitting assessment, and SHAP/LIME limitations added</w:t>
            </w:r>
          </w:p>
        </w:tc>
      </w:tr>
    </w:tbl>
    <w:p>
      <w:pPr>
        <w:pBdr>
          <w:left w:val="single" w:color="2E75B6" w:sz="18" w:space="8"/>
        </w:pBdr>
        <w:shd w:fill="DEEAF6" w:val="clear"/>
        <w:spacing w:after="210" w:before="110"/>
        <w:ind w:left="220"/>
      </w:pPr>
      <w:r>
        <w:rPr>
          <w:rFonts w:ascii="Calibri" w:cs="Calibri" w:eastAsia="Calibri" w:hAnsi="Calibri"/>
          <w:b/>
          <w:bCs/>
          <w:color w:val="1F4E79"/>
          <w:sz w:val="20"/>
          <w:szCs w:val="20"/>
        </w:rPr>
        <w:t xml:space="preserve">RECREATED — </w:t>
      </w:r>
      <w:r>
        <w:rPr>
          <w:rFonts w:ascii="Calibri" w:cs="Calibri" w:eastAsia="Calibri" w:hAnsi="Calibri"/>
          <w:color w:val="1F4E79"/>
          <w:sz w:val="20"/>
          <w:szCs w:val="20"/>
        </w:rPr>
        <w:t xml:space="preserve">The prior card described a system with no trained component and therefore carried no ROC-AUC, no calibration measure, no partition discipline and no feature attribution. All four now apply to the scoring layer. A card omitting them would understate what is being governed and would not survive a model risk review.</w:t>
      </w:r>
    </w:p>
    <w:p>
      <w:r>
        <w:br w:type="page"/>
      </w:r>
    </w:p>
    <w:p>
      <w:pPr>
        <w:pStyle w:val="Heading1"/>
        <w:spacing w:after="160" w:before="320"/>
      </w:pPr>
      <w:r>
        <w:rPr>
          <w:b/>
          <w:bCs/>
          <w:color w:val="1F3864"/>
          <w:sz w:val="30"/>
          <w:szCs w:val="30"/>
        </w:rPr>
        <w:t xml:space="preserve">1. Intended use</w:t>
      </w:r>
    </w:p>
    <w:p>
      <w:pPr>
        <w:spacing w:after="160" w:line="276"/>
      </w:pPr>
      <w:r>
        <w:rPr>
          <w:rFonts w:ascii="Calibri" w:cs="Calibri" w:eastAsia="Calibri" w:hAnsi="Calibri"/>
          <w:b w:val="false"/>
          <w:bCs w:val="false"/>
          <w:i w:val="false"/>
          <w:iCs w:val="false"/>
          <w:sz w:val="21"/>
          <w:szCs w:val="21"/>
        </w:rPr>
        <w:t xml:space="preserve">Producing a credit score and decision recommendation from structured applicant and bureau data, and narrating that decision into a policy-cited rationale for review by a qualified underwriter holding current recorded competency.</w:t>
      </w:r>
    </w:p>
    <w:p>
      <w:pPr>
        <w:pStyle w:val="Heading3"/>
        <w:spacing w:after="100" w:before="200"/>
      </w:pPr>
      <w:r>
        <w:rPr>
          <w:b/>
          <w:bCs/>
          <w:color w:val="44546A"/>
          <w:sz w:val="22"/>
          <w:szCs w:val="22"/>
        </w:rPr>
        <w:t xml:space="preserve">Out of scope — stated as prohibitions</w:t>
      </w:r>
    </w:p>
    <w:p>
      <w:pPr>
        <w:pStyle w:val="ListParagraph"/>
        <w:numPr>
          <w:ilvl w:val="0"/>
          <w:numId w:val="2"/>
        </w:numPr>
        <w:spacing w:after="90"/>
      </w:pPr>
      <w:r>
        <w:rPr>
          <w:rFonts w:ascii="Calibri" w:cs="Calibri" w:eastAsia="Calibri" w:hAnsi="Calibri"/>
          <w:sz w:val="21"/>
          <w:szCs w:val="21"/>
        </w:rPr>
        <w:t xml:space="preserve">Making a decision. The recommendation is a draft in all circumstances.</w:t>
      </w:r>
    </w:p>
    <w:p>
      <w:pPr>
        <w:pStyle w:val="ListParagraph"/>
        <w:numPr>
          <w:ilvl w:val="0"/>
          <w:numId w:val="2"/>
        </w:numPr>
        <w:spacing w:after="90"/>
      </w:pPr>
      <w:r>
        <w:rPr>
          <w:rFonts w:ascii="Calibri" w:cs="Calibri" w:eastAsia="Calibri" w:hAnsi="Calibri"/>
          <w:sz w:val="21"/>
          <w:szCs w:val="21"/>
        </w:rPr>
        <w:t xml:space="preserve">Narration influencing the score. The layers are separated and the direction of flow is one-way.</w:t>
      </w:r>
    </w:p>
    <w:p>
      <w:pPr>
        <w:pStyle w:val="ListParagraph"/>
        <w:numPr>
          <w:ilvl w:val="0"/>
          <w:numId w:val="2"/>
        </w:numPr>
        <w:spacing w:after="90"/>
      </w:pPr>
      <w:r>
        <w:rPr>
          <w:rFonts w:ascii="Calibri" w:cs="Calibri" w:eastAsia="Calibri" w:hAnsi="Calibri"/>
          <w:sz w:val="21"/>
          <w:szCs w:val="21"/>
        </w:rPr>
        <w:t xml:space="preserve">Any communication with an applicant. The decision is the underwriter's and is communicated as such.</w:t>
      </w:r>
    </w:p>
    <w:p>
      <w:pPr>
        <w:pStyle w:val="ListParagraph"/>
        <w:numPr>
          <w:ilvl w:val="0"/>
          <w:numId w:val="2"/>
        </w:numPr>
        <w:spacing w:after="90"/>
      </w:pPr>
      <w:r>
        <w:rPr>
          <w:rFonts w:ascii="Calibri" w:cs="Calibri" w:eastAsia="Calibri" w:hAnsi="Calibri"/>
          <w:sz w:val="21"/>
          <w:szCs w:val="21"/>
        </w:rPr>
        <w:t xml:space="preserve">Any purpose outside credit decisioning support, including purposes that appear adjacent or lower-risk.</w:t>
      </w:r>
    </w:p>
    <w:p>
      <w:pPr>
        <w:pStyle w:val="ListParagraph"/>
        <w:numPr>
          <w:ilvl w:val="0"/>
          <w:numId w:val="2"/>
        </w:numPr>
        <w:spacing w:after="90"/>
      </w:pPr>
      <w:r>
        <w:rPr>
          <w:rFonts w:ascii="Calibri" w:cs="Calibri" w:eastAsia="Calibri" w:hAnsi="Calibri"/>
          <w:sz w:val="21"/>
          <w:szCs w:val="21"/>
        </w:rPr>
        <w:t xml:space="preserve">Any applicant population outside the approved pilot scope.</w:t>
      </w:r>
    </w:p>
    <w:p>
      <w:pPr>
        <w:spacing w:after="160" w:line="276"/>
      </w:pPr>
      <w:r>
        <w:rPr>
          <w:rFonts w:ascii="Calibri" w:cs="Calibri" w:eastAsia="Calibri" w:hAnsi="Calibri"/>
          <w:b/>
          <w:bCs/>
          <w:i w:val="false"/>
          <w:iCs w:val="false"/>
          <w:sz w:val="21"/>
          <w:szCs w:val="21"/>
        </w:rPr>
        <w:t xml:space="preserve">Regulatory classification: High-risk under EU AI Act Annex III(5)(b). Classification follows the function performed, not the presence of a human reviewer at the end of the process.</w:t>
      </w:r>
    </w:p>
    <w:p>
      <w:pPr>
        <w:pStyle w:val="Heading1"/>
        <w:spacing w:after="160" w:before="320"/>
      </w:pPr>
      <w:r>
        <w:rPr>
          <w:b/>
          <w:bCs/>
          <w:color w:val="1F3864"/>
          <w:sz w:val="30"/>
          <w:szCs w:val="30"/>
        </w:rPr>
        <w:t xml:space="preserve">2. Scoring layer evaluation</w:t>
      </w:r>
    </w:p>
    <w:p>
      <w:pPr>
        <w:spacing w:after="160" w:line="276"/>
      </w:pPr>
      <w:r>
        <w:rPr>
          <w:rFonts w:ascii="Calibri" w:cs="Calibri" w:eastAsia="Calibri" w:hAnsi="Calibri"/>
          <w:b w:val="false"/>
          <w:bCs w:val="false"/>
          <w:i w:val="false"/>
          <w:iCs w:val="false"/>
          <w:sz w:val="21"/>
          <w:szCs w:val="21"/>
        </w:rPr>
        <w:t xml:space="preserve">Gradient-boosted trees trained on matured historical outcomes with a 70/15/15 partition. The test partition is held by Model Risk rather than the build team and released once at final assessment — the temptation to reuse a validation set as a test set rises exactly as the deadline approaches, so it was removed structurally rather than prohibited.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Metric</w:t>
            </w:r>
          </w:p>
        </w:tc>
        <w:tc>
          <w:tcPr>
            <w:tcW w:type="dxa" w:w="1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Result</w:t>
            </w:r>
          </w:p>
        </w:tc>
        <w:tc>
          <w:tcPr>
            <w:tcW w:type="dxa" w:w="1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Threshold</w:t>
            </w:r>
          </w:p>
        </w:tc>
        <w:tc>
          <w:tcPr>
            <w:tcW w:type="dxa" w:w="4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Interpretation</w:t>
            </w:r>
          </w:p>
        </w:tc>
      </w:tr>
      <w:tr>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ROC-AUC</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0.84 on held-out test</w:t>
            </w:r>
          </w:p>
        </w:tc>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0.78</w:t>
            </w:r>
          </w:p>
        </w:tc>
        <w:tc>
          <w:tcPr>
            <w:tcW w:type="dxa" w:w="4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Discrimination between good and bad outcomes. The headline model quality measure</w:t>
            </w:r>
          </w:p>
        </w:tc>
      </w:tr>
      <w:tr>
        <w:tc>
          <w:tcPr>
            <w:tcW w:type="dxa" w:w="1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F1 score</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0.71</w:t>
            </w:r>
          </w:p>
        </w:tc>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0.65</w:t>
            </w:r>
          </w:p>
        </w:tc>
        <w:tc>
          <w:tcPr>
            <w:tcW w:type="dxa" w:w="4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Balances precision and recall at the operating threshold, which matters because the class distribution is imbalanced</w:t>
            </w:r>
          </w:p>
        </w:tc>
      </w:tr>
      <w:tr>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Precision</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0.74</w:t>
            </w:r>
          </w:p>
        </w:tc>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Monitored</w:t>
            </w:r>
          </w:p>
        </w:tc>
        <w:tc>
          <w:tcPr>
            <w:tcW w:type="dxa" w:w="4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Of applicants predicted to default, how many did. Low precision means declining creditworthy applicants</w:t>
            </w:r>
          </w:p>
        </w:tc>
      </w:tr>
      <w:tr>
        <w:tc>
          <w:tcPr>
            <w:tcW w:type="dxa" w:w="1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Recall</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0.68</w:t>
            </w:r>
          </w:p>
        </w:tc>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Monitored</w:t>
            </w:r>
          </w:p>
        </w:tc>
        <w:tc>
          <w:tcPr>
            <w:tcW w:type="dxa" w:w="4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Of applicants who defaulted, how many were predicted. Low recall means approving bad risk</w:t>
            </w:r>
          </w:p>
        </w:tc>
      </w:tr>
      <w:tr>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Calibration (Brier)</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0.13</w:t>
            </w:r>
          </w:p>
        </w:tc>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0.18</w:t>
            </w:r>
          </w:p>
        </w:tc>
        <w:tc>
          <w:tcPr>
            <w:tcW w:type="dxa" w:w="4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predicted probabilities mean what they say. Load-bearing, because the HITL marginal-score band is defined on the probability scale</w:t>
            </w:r>
          </w:p>
        </w:tc>
      </w:tr>
      <w:tr>
        <w:tc>
          <w:tcPr>
            <w:tcW w:type="dxa" w:w="1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Generalization gap</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3.1 points AUC, validation to test</w:t>
            </w:r>
          </w:p>
        </w:tc>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5 points</w:t>
            </w:r>
          </w:p>
        </w:tc>
        <w:tc>
          <w:tcPr>
            <w:tcW w:type="dxa" w:w="4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Overfitting check across diverse holdouts including a temporally out-of-sample slice</w:t>
            </w:r>
          </w:p>
        </w:tc>
      </w:tr>
    </w:tbl>
    <w:p>
      <w:pPr>
        <w:spacing w:after="160" w:line="276"/>
      </w:pPr>
      <w:r>
        <w:rPr>
          <w:rFonts w:ascii="Calibri" w:cs="Calibri" w:eastAsia="Calibri" w:hAnsi="Calibri"/>
          <w:b w:val="false"/>
          <w:bCs w:val="false"/>
          <w:i/>
          <w:iCs/>
          <w:sz w:val="21"/>
          <w:szCs w:val="21"/>
        </w:rPr>
        <w:t xml:space="preserve">Precision and recall were not balanced neutrally. The operating threshold was set with Credit Risk holding the trade-off explicitly: declining a creditworthy applicant is a commercial loss and a customer harm; approving a bad risk is a credit loss. The stated position places the threshold slightly toward recall, and that position is recorded here rather than implied by an F1 number.</w:t>
      </w:r>
    </w:p>
    <w:p>
      <w:pPr>
        <w:pStyle w:val="Heading2"/>
        <w:spacing w:after="120" w:before="260"/>
      </w:pPr>
      <w:r>
        <w:rPr>
          <w:b/>
          <w:bCs/>
          <w:color w:val="1F3864"/>
          <w:sz w:val="24"/>
          <w:szCs w:val="24"/>
        </w:rPr>
        <w:t xml:space="preserve">2.1 Overfitting and underfitting</w:t>
      </w:r>
    </w:p>
    <w:p>
      <w:pPr>
        <w:spacing w:after="160" w:line="276"/>
      </w:pPr>
      <w:r>
        <w:rPr>
          <w:rFonts w:ascii="Calibri" w:cs="Calibri" w:eastAsia="Calibri" w:hAnsi="Calibri"/>
          <w:b w:val="false"/>
          <w:bCs w:val="false"/>
          <w:i w:val="false"/>
          <w:iCs w:val="false"/>
          <w:sz w:val="21"/>
          <w:szCs w:val="21"/>
        </w:rPr>
        <w:t xml:space="preserve">Model fitness is assessed in both directions. The generalization gap above is the overfitting control: 3.1 points AUC from validation to test against a 5-point tolerance.</w:t>
      </w:r>
    </w:p>
    <w:p>
      <w:pPr>
        <w:spacing w:after="160" w:line="276"/>
      </w:pPr>
      <w:r>
        <w:rPr>
          <w:rFonts w:ascii="Calibri" w:cs="Calibri" w:eastAsia="Calibri" w:hAnsi="Calibri"/>
          <w:b w:val="false"/>
          <w:bCs w:val="false"/>
          <w:i w:val="false"/>
          <w:iCs w:val="false"/>
          <w:sz w:val="21"/>
          <w:szCs w:val="21"/>
        </w:rPr>
        <w:t xml:space="preserve">Underfitting is assessed from the same three measurements read differently. Where the overfitting check asks whether validation performance survives contact with the test set, the underfitting check asks whether training performance is itself weak — whether the model has failed to learn sufficient signal, or performs below the predefined minimums irrespective of how consistently it does so. A model scoring uniformly across all three partitions beneath the 0.78 ROC-AUC floor or the 0.65 F1 floor is not stable; it is underfitted, and consistency is not evidence in its favour.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Direction</w:t>
            </w:r>
          </w:p>
        </w:tc>
        <w:tc>
          <w:tcPr>
            <w:tcW w:type="dxa" w:w="3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Diagnostic pattern</w:t>
            </w:r>
          </w:p>
        </w:tc>
        <w:tc>
          <w:tcPr>
            <w:tcW w:type="dxa" w:w="4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Governance response</w:t>
            </w:r>
          </w:p>
        </w:tc>
      </w:tr>
      <w:tr>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Overfitting</w:t>
            </w:r>
          </w:p>
        </w:tc>
        <w:tc>
          <w:tcPr>
            <w:tcW w:type="dxa" w:w="3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Strong training performance; validation-to-test gap beyond the 5-point tolerance</w:t>
            </w:r>
          </w:p>
        </w:tc>
        <w:tc>
          <w:tcPr>
            <w:tcW w:type="dxa" w:w="4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Regularisation and complexity review; re-partition and re-validate. The test partition is not re-released until Model Risk approves the re-run</w:t>
            </w:r>
          </w:p>
        </w:tc>
      </w:tr>
      <w:tr>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Underfitting</w:t>
            </w:r>
          </w:p>
        </w:tc>
        <w:tc>
          <w:tcPr>
            <w:tcW w:type="dxa" w:w="3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Training, validation and test converge at or below the ROC-AUC and F1 minimums, or calibration fails the 0.18 Brier tolerance while discrimination is flat</w:t>
            </w:r>
          </w:p>
        </w:tc>
        <w:tc>
          <w:tcPr>
            <w:tcW w:type="dxa" w:w="4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feature and data adequacy; assess whether relevant patterns are represented at all; assess complexity; assess training quality; reassess model selection; repeat validation before Gate 4 is re-presented</w:t>
            </w:r>
          </w:p>
        </w:tc>
      </w:tr>
    </w:tbl>
    <w:p>
      <w:pPr>
        <w:pStyle w:val="ListParagraph"/>
        <w:numPr>
          <w:ilvl w:val="0"/>
          <w:numId w:val="3"/>
        </w:numPr>
        <w:spacing w:after="90"/>
      </w:pPr>
      <w:r>
        <w:rPr>
          <w:rFonts w:ascii="Calibri" w:cs="Calibri" w:eastAsia="Calibri" w:hAnsi="Calibri"/>
          <w:b/>
          <w:bCs/>
          <w:sz w:val="21"/>
          <w:szCs w:val="21"/>
        </w:rPr>
        <w:t xml:space="preserve">Higher complexity is not automatically the remedy. </w:t>
      </w:r>
      <w:r>
        <w:rPr>
          <w:rFonts w:ascii="Calibri" w:cs="Calibri" w:eastAsia="Calibri" w:hAnsi="Calibri"/>
          <w:sz w:val="21"/>
          <w:szCs w:val="21"/>
        </w:rPr>
        <w:t xml:space="preserve">An underfitted model is frequently a data problem wearing a model problem's clothing — absent features, insufficient signal, or a target definition that does not capture what the business is deciding. Reaching for a more complex model first risks fitting noise instead of fixing the input.</w:t>
      </w:r>
    </w:p>
    <w:p>
      <w:pPr>
        <w:pStyle w:val="ListParagraph"/>
        <w:numPr>
          <w:ilvl w:val="0"/>
          <w:numId w:val="3"/>
        </w:numPr>
        <w:spacing w:after="90"/>
      </w:pPr>
      <w:r>
        <w:rPr>
          <w:rFonts w:ascii="Calibri" w:cs="Calibri" w:eastAsia="Calibri" w:hAnsi="Calibri"/>
          <w:b/>
          <w:bCs/>
          <w:sz w:val="21"/>
          <w:szCs w:val="21"/>
        </w:rPr>
        <w:t xml:space="preserve">A remediation is a change, and changes remain governed. </w:t>
      </w:r>
      <w:r>
        <w:rPr>
          <w:rFonts w:ascii="Calibri" w:cs="Calibri" w:eastAsia="Calibri" w:hAnsi="Calibri"/>
          <w:sz w:val="21"/>
          <w:szCs w:val="21"/>
        </w:rPr>
        <w:t xml:space="preserve">Any response re-enters the same validation and risk controls and does not inherit its prior gate position. Where the change touches the feature set, the fairness suite is re-run, because a new feature is a new proxy-attribute surface.</w:t>
      </w:r>
    </w:p>
    <w:p>
      <w:pPr>
        <w:spacing w:after="160" w:line="276"/>
      </w:pPr>
      <w:r>
        <w:rPr>
          <w:rFonts w:ascii="Calibri" w:cs="Calibri" w:eastAsia="Calibri" w:hAnsi="Calibri"/>
          <w:b/>
          <w:bCs/>
          <w:i w:val="false"/>
          <w:iCs w:val="false"/>
          <w:sz w:val="21"/>
          <w:szCs w:val="21"/>
        </w:rPr>
        <w:t xml:space="preserve">Assessment at v2.4: no underfitting signal. Training, validation and test performance are separated by the recorded generalization gap and all sit above the defined minimums.</w:t>
      </w:r>
    </w:p>
    <w:p>
      <w:pPr>
        <w:pStyle w:val="Heading2"/>
        <w:spacing w:after="120" w:before="260"/>
      </w:pPr>
      <w:r>
        <w:rPr>
          <w:b/>
          <w:bCs/>
          <w:color w:val="1F3864"/>
          <w:sz w:val="24"/>
          <w:szCs w:val="24"/>
        </w:rPr>
        <w:t xml:space="preserve">2.2 Fairness — including the finding that blocked a gate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Metric</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Threshold</w:t>
            </w:r>
          </w:p>
        </w:tc>
        <w:tc>
          <w:tcPr>
            <w:tcW w:type="dxa" w:w="2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Pre-remediation</w:t>
            </w:r>
          </w:p>
        </w:tc>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Post-remediation</w:t>
            </w:r>
          </w:p>
        </w:tc>
      </w:tr>
      <w:tr>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Disparate impact ratio</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0.80</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0.67 — FAIL</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0.89</w:t>
            </w:r>
          </w:p>
        </w:tc>
      </w:tr>
      <w:tr>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Demographic parity difference</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0.10</w:t>
            </w:r>
          </w:p>
        </w:tc>
        <w:tc>
          <w:tcPr>
            <w:tcW w:type="dxa" w:w="2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0.21</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0.06</w:t>
            </w:r>
          </w:p>
        </w:tc>
      </w:tr>
      <w:tr>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Equal opportunity difference</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0.08</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0.17</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0.04</w:t>
            </w:r>
          </w:p>
        </w:tc>
      </w:tr>
      <w:tr>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Calibration by group</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tolerance</w:t>
            </w:r>
          </w:p>
        </w:tc>
        <w:tc>
          <w:tcPr>
            <w:tcW w:type="dxa" w:w="2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tolerance</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tolerance</w:t>
            </w:r>
          </w:p>
        </w:tc>
      </w:tr>
    </w:tbl>
    <w:p>
      <w:pPr>
        <w:spacing w:after="160" w:line="276"/>
      </w:pPr>
      <w:r>
        <w:rPr>
          <w:rFonts w:ascii="Calibri" w:cs="Calibri" w:eastAsia="Calibri" w:hAnsi="Calibri"/>
          <w:b w:val="false"/>
          <w:bCs w:val="false"/>
          <w:i w:val="false"/>
          <w:iCs w:val="false"/>
          <w:sz w:val="21"/>
          <w:szCs w:val="21"/>
        </w:rPr>
        <w:t xml:space="preserve">The failure arose in the retrieval layer, not the scoring layer: postal district sat in corpus metadata carried from a predecessor schema. The scoring feature set was clean. Remediation was structural — field deleted, address added to the redaction entity set, prompt constrained. Gate 2 was blocked on 2026-02-17 and released on 2026-03-04. The block record is retained permanently above the release record.</w:t>
      </w:r>
    </w:p>
    <w:p>
      <w:pPr>
        <w:pBdr>
          <w:left w:val="single" w:color="1F3864" w:sz="18" w:space="8"/>
        </w:pBdr>
        <w:spacing w:after="200" w:before="120"/>
        <w:ind w:left="200"/>
      </w:pPr>
      <w:r>
        <w:rPr>
          <w:rFonts w:ascii="Calibri" w:cs="Calibri" w:eastAsia="Calibri" w:hAnsi="Calibri"/>
          <w:i/>
          <w:iCs/>
          <w:color w:val="1F3864"/>
          <w:sz w:val="22"/>
          <w:szCs w:val="22"/>
        </w:rPr>
        <w:t xml:space="preserve">The threshold was set before the test ran. That single fact is what made the 0.67 result mean something.</w:t>
      </w:r>
    </w:p>
    <w:p>
      <w:pPr>
        <w:pStyle w:val="Heading1"/>
        <w:spacing w:after="160" w:before="320"/>
      </w:pPr>
      <w:r>
        <w:rPr>
          <w:b/>
          <w:bCs/>
          <w:color w:val="1F3864"/>
          <w:sz w:val="30"/>
          <w:szCs w:val="30"/>
        </w:rPr>
        <w:t xml:space="preserve">3. Narration layer evaluation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Metric</w:t>
            </w:r>
          </w:p>
        </w:tc>
        <w:tc>
          <w:tcPr>
            <w:tcW w:type="dxa" w:w="3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Result</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Threshold</w:t>
            </w:r>
          </w:p>
        </w:tc>
      </w:tr>
      <w:tr>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Grounding score, block on fail</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6.2% block rate</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 8%</w:t>
            </w:r>
          </w:p>
        </w:tc>
      </w:tr>
      <w:tr>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Citation resolution</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100% of sampled outputs</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100%</w:t>
            </w:r>
          </w:p>
        </w:tc>
      </w:tr>
      <w:tr>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Citation support (sampled)</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Pass</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Sampled quarterly</w:t>
            </w:r>
          </w:p>
        </w:tc>
      </w:tr>
      <w:tr>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Guardrail precision / recall</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Tuned toward recall</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Recall prioritised for safety-critical filters</w:t>
            </w:r>
          </w:p>
        </w:tc>
      </w:tr>
      <w:tr>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Latency (p95, end-to-end)</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1.1s</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&lt; 1.5s</w:t>
            </w:r>
          </w:p>
        </w:tc>
      </w:tr>
      <w:tr>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Consistency</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Within bound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Defined bound</w:t>
            </w:r>
          </w:p>
        </w:tc>
      </w:tr>
    </w:tbl>
    <w:p>
      <w:pPr>
        <w:pStyle w:val="Heading1"/>
        <w:spacing w:after="160" w:before="320"/>
      </w:pPr>
      <w:r>
        <w:rPr>
          <w:b/>
          <w:bCs/>
          <w:color w:val="1F3864"/>
          <w:sz w:val="30"/>
          <w:szCs w:val="30"/>
        </w:rPr>
        <w:t xml:space="preserve">4. Explainability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Layer</w:t>
            </w:r>
          </w:p>
        </w:tc>
        <w:tc>
          <w:tcPr>
            <w:tcW w:type="dxa" w:w="1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Technique</w:t>
            </w:r>
          </w:p>
        </w:tc>
        <w:tc>
          <w:tcPr>
            <w:tcW w:type="dxa" w:w="3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Role</w:t>
            </w:r>
          </w:p>
        </w:tc>
        <w:tc>
          <w:tcPr>
            <w:tcW w:type="dxa" w:w="3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Known limitation</w:t>
            </w:r>
          </w:p>
        </w:tc>
      </w:tr>
      <w:tr>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Scoring</w:t>
            </w:r>
          </w:p>
        </w:tc>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SHAP</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Global attribution for model risk review and population fairness analysis; local attribution produces the drivers passed into narration</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Assumes feature independence that credit data rarely satisfies</w:t>
            </w:r>
          </w:p>
        </w:tc>
      </w:tr>
      <w:tr>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Scoring</w:t>
            </w:r>
          </w:p>
        </w:tc>
        <w:tc>
          <w:tcPr>
            <w:tcW w:type="dxa" w:w="1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LIME</w:t>
            </w:r>
          </w:p>
        </w:tc>
        <w:tc>
          <w:tcPr>
            <w:tcW w:type="dxa" w:w="3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Individual case explanation in dispute handling</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Explanations can be unstable across runs on the same input</w:t>
            </w:r>
          </w:p>
        </w:tc>
      </w:tr>
      <w:tr>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Narration</w:t>
            </w:r>
          </w:p>
        </w:tc>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Passage-level citation</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Which specific policy text grounded the claim</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Resolution can pass while support fails</w:t>
            </w:r>
          </w:p>
        </w:tc>
      </w:tr>
      <w:tr>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Narration</w:t>
            </w:r>
          </w:p>
        </w:tc>
        <w:tc>
          <w:tcPr>
            <w:tcW w:type="dxa" w:w="1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Grounding verification</w:t>
            </w:r>
          </w:p>
        </w:tc>
        <w:tc>
          <w:tcPr>
            <w:tcW w:type="dxa" w:w="3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Factual consistency of response against retrieved passages</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Confirms consistency, not logical validity</w:t>
            </w:r>
          </w:p>
        </w:tc>
      </w:tr>
      <w:tr>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Both</w:t>
            </w:r>
          </w:p>
        </w:tc>
        <w:tc>
          <w:tcPr>
            <w:tcW w:type="dxa" w:w="1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Counterfactual testing</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the same outcome arises for a different person with identical circumstances</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Bounded by test design</w:t>
            </w:r>
          </w:p>
        </w:tc>
      </w:tr>
    </w:tbl>
    <w:p>
      <w:pPr>
        <w:spacing w:after="160" w:line="276"/>
      </w:pPr>
      <w:r>
        <w:rPr>
          <w:rFonts w:ascii="Calibri" w:cs="Calibri" w:eastAsia="Calibri" w:hAnsi="Calibri"/>
          <w:b w:val="false"/>
          <w:bCs w:val="false"/>
          <w:i/>
          <w:iCs/>
          <w:sz w:val="21"/>
          <w:szCs w:val="21"/>
        </w:rPr>
        <w:t xml:space="preserve">SHAP and LIME are deliberately not applied to the narration layer. A foundation model generating text from a prompt and retrieved passages has no stable feature vector; attribution over tokens explains nothing a loan officer or a declined applicant can act on.</w:t>
      </w:r>
    </w:p>
    <w:p>
      <w:pPr>
        <w:pStyle w:val="Heading1"/>
        <w:spacing w:after="160" w:before="320"/>
      </w:pPr>
      <w:r>
        <w:rPr>
          <w:b/>
          <w:bCs/>
          <w:color w:val="1F3864"/>
          <w:sz w:val="30"/>
          <w:szCs w:val="30"/>
        </w:rPr>
        <w:t xml:space="preserve">5. Limitations</w:t>
      </w:r>
    </w:p>
    <w:p>
      <w:pPr>
        <w:pStyle w:val="ListParagraph"/>
        <w:numPr>
          <w:ilvl w:val="0"/>
          <w:numId w:val="3"/>
        </w:numPr>
        <w:spacing w:after="90"/>
      </w:pPr>
      <w:r>
        <w:rPr>
          <w:rFonts w:ascii="Calibri" w:cs="Calibri" w:eastAsia="Calibri" w:hAnsi="Calibri"/>
          <w:b/>
          <w:bCs/>
          <w:sz w:val="21"/>
          <w:szCs w:val="21"/>
        </w:rPr>
        <w:t xml:space="preserve">Formal rule verification is not implemented. </w:t>
      </w:r>
      <w:r>
        <w:rPr>
          <w:rFonts w:ascii="Calibri" w:cs="Calibri" w:eastAsia="Calibri" w:hAnsi="Calibri"/>
          <w:sz w:val="21"/>
          <w:szCs w:val="21"/>
        </w:rPr>
        <w:t xml:space="preserve">Unavailable in the required jurisdiction. The compensating control relies on human detection of a failure characterised by looking correct.</w:t>
      </w:r>
    </w:p>
    <w:p>
      <w:pPr>
        <w:pStyle w:val="ListParagraph"/>
        <w:numPr>
          <w:ilvl w:val="0"/>
          <w:numId w:val="3"/>
        </w:numPr>
        <w:spacing w:after="90"/>
      </w:pPr>
      <w:r>
        <w:rPr>
          <w:rFonts w:ascii="Calibri" w:cs="Calibri" w:eastAsia="Calibri" w:hAnsi="Calibri"/>
          <w:b/>
          <w:bCs/>
          <w:sz w:val="21"/>
          <w:szCs w:val="21"/>
        </w:rPr>
        <w:t xml:space="preserve">Fairness testing is partly synthetic. </w:t>
      </w:r>
      <w:r>
        <w:rPr>
          <w:rFonts w:ascii="Calibri" w:cs="Calibri" w:eastAsia="Calibri" w:hAnsi="Calibri"/>
          <w:sz w:val="21"/>
          <w:szCs w:val="21"/>
        </w:rPr>
        <w:t xml:space="preserve">Counterfactual pair testing uses constructed profiles, which isolates the attribute cleanly but reflects behaviour on constructed cases rather than the live distribution. Quarterly live-sample re-testing addresses this and has not completed a full cycle.</w:t>
      </w:r>
    </w:p>
    <w:p>
      <w:pPr>
        <w:pStyle w:val="ListParagraph"/>
        <w:numPr>
          <w:ilvl w:val="0"/>
          <w:numId w:val="3"/>
        </w:numPr>
        <w:spacing w:after="90"/>
      </w:pPr>
      <w:r>
        <w:rPr>
          <w:rFonts w:ascii="Calibri" w:cs="Calibri" w:eastAsia="Calibri" w:hAnsi="Calibri"/>
          <w:b/>
          <w:bCs/>
          <w:sz w:val="21"/>
          <w:szCs w:val="21"/>
        </w:rPr>
        <w:t xml:space="preserve">SHAP and LIME weaknesses are structural, not implementation defects. </w:t>
      </w:r>
      <w:r>
        <w:rPr>
          <w:rFonts w:ascii="Calibri" w:cs="Calibri" w:eastAsia="Calibri" w:hAnsi="Calibri"/>
          <w:sz w:val="21"/>
          <w:szCs w:val="21"/>
        </w:rPr>
        <w:t xml:space="preserve">Both are stated above and are inherent to the techniques.</w:t>
      </w:r>
    </w:p>
    <w:p>
      <w:pPr>
        <w:pStyle w:val="ListParagraph"/>
        <w:numPr>
          <w:ilvl w:val="0"/>
          <w:numId w:val="3"/>
        </w:numPr>
        <w:spacing w:after="90"/>
      </w:pPr>
      <w:r>
        <w:rPr>
          <w:rFonts w:ascii="Calibri" w:cs="Calibri" w:eastAsia="Calibri" w:hAnsi="Calibri"/>
          <w:b/>
          <w:bCs/>
          <w:sz w:val="21"/>
          <w:szCs w:val="21"/>
        </w:rPr>
        <w:t xml:space="preserve">All results are version-bound. </w:t>
      </w:r>
      <w:r>
        <w:rPr>
          <w:rFonts w:ascii="Calibri" w:cs="Calibri" w:eastAsia="Calibri" w:hAnsi="Calibri"/>
          <w:sz w:val="21"/>
          <w:szCs w:val="21"/>
        </w:rPr>
        <w:t xml:space="preserve">Obtained against scoring model v2.4 and the pinned foundation model version. A deprecation notice has been received; the full suite must be re-run before the successor carries traffic.</w:t>
      </w:r>
    </w:p>
    <w:p>
      <w:pPr>
        <w:pStyle w:val="Heading1"/>
        <w:spacing w:after="160" w:before="320"/>
      </w:pPr>
      <w:r>
        <w:rPr>
          <w:b/>
          <w:bCs/>
          <w:color w:val="1F3864"/>
          <w:sz w:val="30"/>
          <w:szCs w:val="30"/>
        </w:rPr>
        <w:t xml:space="preserve">6. Monitoring and review</w:t>
      </w:r>
    </w:p>
    <w:p>
      <w:pPr>
        <w:spacing w:after="160" w:line="276"/>
      </w:pPr>
      <w:r>
        <w:rPr>
          <w:rFonts w:ascii="Calibri" w:cs="Calibri" w:eastAsia="Calibri" w:hAnsi="Calibri"/>
          <w:b w:val="false"/>
          <w:bCs w:val="false"/>
          <w:i w:val="false"/>
          <w:iCs w:val="false"/>
          <w:sz w:val="21"/>
          <w:szCs w:val="21"/>
        </w:rPr>
        <w:t xml:space="preserve">Nine metrics under A-30, covering both layers. Reissued on any major model version change, any control set change, or any fairness result outside threshold. Reviewed annually regardless. Competency attestation under A-38 lapses on reissue.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2026-09-13T09:00:44.472Z</dcterms:created>
  <dcterms:modified xsi:type="dcterms:W3CDTF">2026-09-13T09:00:44.472Z</dcterms:modified>
</cp:coreProperties>
</file>

<file path=docProps/custom.xml><?xml version="1.0" encoding="utf-8"?>
<Properties xmlns="http://schemas.openxmlformats.org/officeDocument/2006/custom-properties" xmlns:vt="http://schemas.openxmlformats.org/officeDocument/2006/docPropsVTypes"/>
</file>