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4A0BC" w14:textId="77777777" w:rsidR="000E1D8C" w:rsidRDefault="00000000">
      <w:pPr>
        <w:spacing w:after="40"/>
      </w:pPr>
      <w:r>
        <w:rPr>
          <w:rFonts w:ascii="Calibri" w:hAnsi="Calibri"/>
          <w:b/>
          <w:color w:val="1F3864"/>
          <w:sz w:val="40"/>
        </w:rPr>
        <w:t>AI Ethics and Responsible Use Policy</w:t>
      </w:r>
    </w:p>
    <w:p w14:paraId="5337442E" w14:textId="77777777" w:rsidR="000E1D8C" w:rsidRDefault="00000000">
      <w:pPr>
        <w:spacing w:after="240"/>
      </w:pPr>
      <w:r>
        <w:rPr>
          <w:rFonts w:ascii="Calibri" w:hAnsi="Calibri"/>
          <w:i/>
          <w:color w:val="595959"/>
          <w:sz w:val="23"/>
        </w:rPr>
        <w:t>Credit Decisioning Assistant (CDA) Framework — Artefact A-20, v1.2</w:t>
      </w:r>
    </w:p>
    <w:tbl>
      <w:tblPr>
        <w:tblW w:w="0" w:type="auto"/>
        <w:jc w:val="center"/>
        <w:tblLook w:val="04A0" w:firstRow="1" w:lastRow="0" w:firstColumn="1" w:lastColumn="0" w:noHBand="0" w:noVBand="1"/>
      </w:tblPr>
      <w:tblGrid>
        <w:gridCol w:w="4968"/>
        <w:gridCol w:w="4968"/>
      </w:tblGrid>
      <w:tr w:rsidR="000E1D8C" w14:paraId="496EF398"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0A3F8A88" w14:textId="77777777" w:rsidR="000E1D8C" w:rsidRDefault="00000000">
            <w:r>
              <w:rPr>
                <w:rFonts w:ascii="Calibri" w:hAnsi="Calibri"/>
                <w:b/>
                <w:color w:val="FFFFFF"/>
                <w:sz w:val="20"/>
              </w:rPr>
              <w:t>Field</w:t>
            </w:r>
          </w:p>
        </w:tc>
        <w:tc>
          <w:tcPr>
            <w:tcW w:w="4968"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2B23383" w14:textId="77777777" w:rsidR="000E1D8C" w:rsidRDefault="00000000">
            <w:r>
              <w:rPr>
                <w:rFonts w:ascii="Calibri" w:hAnsi="Calibri"/>
                <w:b/>
                <w:color w:val="FFFFFF"/>
                <w:sz w:val="20"/>
              </w:rPr>
              <w:t>Detail</w:t>
            </w:r>
          </w:p>
        </w:tc>
      </w:tr>
      <w:tr w:rsidR="000E1D8C" w14:paraId="1AE22F9A"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083E13D" w14:textId="77777777" w:rsidR="000E1D8C" w:rsidRDefault="00000000">
            <w:r>
              <w:rPr>
                <w:rFonts w:ascii="Calibri" w:hAnsi="Calibri"/>
                <w:b/>
                <w:color w:val="1F3864"/>
                <w:sz w:val="19"/>
              </w:rPr>
              <w:t>Artefact ID</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E64C4E4" w14:textId="77777777" w:rsidR="000E1D8C" w:rsidRDefault="00000000">
            <w:r>
              <w:rPr>
                <w:rFonts w:ascii="Calibri" w:hAnsi="Calibri"/>
                <w:color w:val="000000"/>
                <w:sz w:val="19"/>
              </w:rPr>
              <w:t>A-20</w:t>
            </w:r>
          </w:p>
        </w:tc>
      </w:tr>
      <w:tr w:rsidR="000E1D8C" w14:paraId="42BD0668"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248F970" w14:textId="77777777" w:rsidR="000E1D8C" w:rsidRDefault="00000000">
            <w:r>
              <w:rPr>
                <w:rFonts w:ascii="Calibri" w:hAnsi="Calibri"/>
                <w:b/>
                <w:color w:val="1F3864"/>
                <w:sz w:val="19"/>
              </w:rPr>
              <w:t>Title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4963D5D" w14:textId="77777777" w:rsidR="000E1D8C" w:rsidRDefault="00000000">
            <w:r>
              <w:rPr>
                <w:rFonts w:ascii="Calibri" w:hAnsi="Calibri"/>
                <w:color w:val="000000"/>
                <w:sz w:val="19"/>
              </w:rPr>
              <w:t>AI Ethics and Responsible Use Policy</w:t>
            </w:r>
          </w:p>
        </w:tc>
      </w:tr>
      <w:tr w:rsidR="000E1D8C" w14:paraId="10441826"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68AB93BA" w14:textId="77777777" w:rsidR="000E1D8C" w:rsidRDefault="00000000">
            <w:r>
              <w:rPr>
                <w:rFonts w:ascii="Calibri" w:hAnsi="Calibri"/>
                <w:b/>
                <w:color w:val="1F3864"/>
                <w:sz w:val="19"/>
              </w:rPr>
              <w:t>System Governed</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94F3F82" w14:textId="77777777" w:rsidR="000E1D8C" w:rsidRDefault="00000000">
            <w:r>
              <w:rPr>
                <w:rFonts w:ascii="Calibri" w:hAnsi="Calibri"/>
                <w:color w:val="000000"/>
                <w:sz w:val="19"/>
              </w:rPr>
              <w:t>Credit Decisioning Assistant (CDA) — hybrid deterministic XGBoost scoring + AWS Bedrock (Claude) RAG narration supporting retail credit decisions (~870,000 annual applicants)</w:t>
            </w:r>
          </w:p>
        </w:tc>
      </w:tr>
      <w:tr w:rsidR="000E1D8C" w14:paraId="7855258D"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1F5F2CF1" w14:textId="77777777" w:rsidR="000E1D8C" w:rsidRDefault="00000000">
            <w:r>
              <w:rPr>
                <w:rFonts w:ascii="Calibri" w:hAnsi="Calibri"/>
                <w:b/>
                <w:color w:val="1F3864"/>
                <w:sz w:val="19"/>
              </w:rPr>
              <w:t>Document Owner</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14BE9CD" w14:textId="77777777" w:rsidR="000E1D8C" w:rsidRDefault="00000000">
            <w:r>
              <w:rPr>
                <w:rFonts w:ascii="Calibri" w:hAnsi="Calibri"/>
                <w:color w:val="000000"/>
                <w:sz w:val="19"/>
              </w:rPr>
              <w:t>Chief Risk Officer (CRO)</w:t>
            </w:r>
          </w:p>
        </w:tc>
      </w:tr>
      <w:tr w:rsidR="000E1D8C" w14:paraId="0C5A700E"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758E8862" w14:textId="77777777" w:rsidR="000E1D8C" w:rsidRDefault="00000000">
            <w:r>
              <w:rPr>
                <w:rFonts w:ascii="Calibri" w:hAnsi="Calibri"/>
                <w:b/>
                <w:color w:val="1F3864"/>
                <w:sz w:val="19"/>
              </w:rPr>
              <w:t>Approving Authority</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81302AC" w14:textId="77777777" w:rsidR="000E1D8C" w:rsidRDefault="00000000">
            <w:r>
              <w:rPr>
                <w:rFonts w:ascii="Calibri" w:hAnsi="Calibri"/>
                <w:color w:val="000000"/>
                <w:sz w:val="19"/>
              </w:rPr>
              <w:t>AI Governance Committee (AIGC), ratified by Executive Committee (ExCo)</w:t>
            </w:r>
          </w:p>
        </w:tc>
      </w:tr>
      <w:tr w:rsidR="000E1D8C" w14:paraId="2BA41BEA"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4898E66" w14:textId="77777777" w:rsidR="000E1D8C" w:rsidRDefault="00000000">
            <w:r>
              <w:rPr>
                <w:rFonts w:ascii="Calibri" w:hAnsi="Calibri"/>
                <w:b/>
                <w:color w:val="1F3864"/>
                <w:sz w:val="19"/>
              </w:rPr>
              <w:t>Classification</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C289335" w14:textId="77777777" w:rsidR="000E1D8C" w:rsidRDefault="00000000">
            <w:r>
              <w:rPr>
                <w:rFonts w:ascii="Calibri" w:hAnsi="Calibri"/>
                <w:color w:val="000000"/>
                <w:sz w:val="19"/>
              </w:rPr>
              <w:t>Internal — Enterprise AI Governance Framework (Tier 1 High-Risk System)</w:t>
            </w:r>
          </w:p>
        </w:tc>
      </w:tr>
      <w:tr w:rsidR="000E1D8C" w14:paraId="11103A0E"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1CFBAAC" w14:textId="77777777" w:rsidR="000E1D8C" w:rsidRDefault="00000000">
            <w:r>
              <w:rPr>
                <w:rFonts w:ascii="Calibri" w:hAnsi="Calibri"/>
                <w:b/>
                <w:color w:val="1F3864"/>
                <w:sz w:val="19"/>
              </w:rPr>
              <w:t>Regulatory Basis</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9392A15" w14:textId="77777777" w:rsidR="000E1D8C" w:rsidRDefault="00000000">
            <w:r>
              <w:rPr>
                <w:rFonts w:ascii="Calibri" w:hAnsi="Calibri"/>
                <w:color w:val="000000"/>
                <w:sz w:val="19"/>
              </w:rPr>
              <w:t>EU AI Act Art. 4 (AI Literacy), Art. 14 (Human Oversight), Art. 86 (Right to Explanation); GDPR Art. 22; MAS FEAT Principles (Fairness, Ethics, Accountability, Transparency); Singapore Model AI Governance Framework; NIST AI RMF GOVERN</w:t>
            </w:r>
          </w:p>
        </w:tc>
      </w:tr>
      <w:tr w:rsidR="000E1D8C" w14:paraId="2E093EDF"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68FD712" w14:textId="77777777" w:rsidR="000E1D8C" w:rsidRDefault="00000000">
            <w:r>
              <w:rPr>
                <w:rFonts w:ascii="Calibri" w:hAnsi="Calibri"/>
                <w:b/>
                <w:color w:val="1F3864"/>
                <w:sz w:val="19"/>
              </w:rPr>
              <w:t>Review Cycle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73A98EB" w14:textId="77777777" w:rsidR="000E1D8C" w:rsidRDefault="00000000">
            <w:r>
              <w:rPr>
                <w:rFonts w:ascii="Calibri" w:hAnsi="Calibri"/>
                <w:color w:val="000000"/>
                <w:sz w:val="19"/>
              </w:rPr>
              <w:t>Annual, or immediately upon any zero-appetite threshold breach or event trigger defined in Post-Deployment Monitoring Policy (A-30) §5</w:t>
            </w:r>
          </w:p>
        </w:tc>
      </w:tr>
      <w:tr w:rsidR="000E1D8C" w14:paraId="15EC9DAD"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3BDC023" w14:textId="77777777" w:rsidR="000E1D8C" w:rsidRDefault="00000000">
            <w:r>
              <w:rPr>
                <w:rFonts w:ascii="Calibri" w:hAnsi="Calibri"/>
                <w:b/>
                <w:color w:val="1F3864"/>
                <w:sz w:val="19"/>
              </w:rPr>
              <w:t>Nature of Document</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180D15D" w14:textId="77777777" w:rsidR="000E1D8C" w:rsidRDefault="00000000">
            <w:r>
              <w:rPr>
                <w:rFonts w:ascii="Calibri" w:hAnsi="Calibri"/>
                <w:color w:val="000000"/>
                <w:sz w:val="19"/>
              </w:rPr>
              <w:t>Governance design artefact produced as part of a worked portfolio example. Figures, dates, and named decisions demonstrate operational control behavior and are internally consistent with Artifacts A-01 through A-44.</w:t>
            </w:r>
          </w:p>
        </w:tc>
      </w:tr>
    </w:tbl>
    <w:p w14:paraId="3169B4DD" w14:textId="77777777" w:rsidR="000E1D8C" w:rsidRDefault="000E1D8C">
      <w:pPr>
        <w:spacing w:after="160"/>
      </w:pPr>
    </w:p>
    <w:p w14:paraId="3F4C52E9" w14:textId="77777777" w:rsidR="000E1D8C" w:rsidRDefault="00000000">
      <w:pPr>
        <w:spacing w:after="80"/>
      </w:pPr>
      <w:r>
        <w:rPr>
          <w:rFonts w:ascii="Calibri" w:hAnsi="Calibri"/>
          <w:b/>
          <w:color w:val="1F3864"/>
          <w:sz w:val="26"/>
        </w:rPr>
        <w:t>Document Control &amp; Version History</w:t>
      </w:r>
    </w:p>
    <w:tbl>
      <w:tblPr>
        <w:tblW w:w="0" w:type="auto"/>
        <w:jc w:val="center"/>
        <w:tblLook w:val="04A0" w:firstRow="1" w:lastRow="0" w:firstColumn="1" w:lastColumn="0" w:noHBand="0" w:noVBand="1"/>
      </w:tblPr>
      <w:tblGrid>
        <w:gridCol w:w="1419"/>
        <w:gridCol w:w="1419"/>
        <w:gridCol w:w="1419"/>
        <w:gridCol w:w="1419"/>
        <w:gridCol w:w="1419"/>
        <w:gridCol w:w="1419"/>
        <w:gridCol w:w="1734"/>
      </w:tblGrid>
      <w:tr w:rsidR="000E1D8C" w14:paraId="5C5C3B1E" w14:textId="77777777" w:rsidTr="00C33DF4">
        <w:trPr>
          <w:jc w:val="center"/>
        </w:trPr>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E157934" w14:textId="77777777" w:rsidR="000E1D8C" w:rsidRDefault="00000000">
            <w:pPr>
              <w:jc w:val="center"/>
            </w:pPr>
            <w:r>
              <w:rPr>
                <w:rFonts w:ascii="Calibri" w:hAnsi="Calibri"/>
                <w:b/>
                <w:color w:val="FFFFFF"/>
                <w:sz w:val="19"/>
              </w:rPr>
              <w:lastRenderedPageBreak/>
              <w:t>Version</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8D7A172" w14:textId="77777777" w:rsidR="000E1D8C" w:rsidRDefault="00000000">
            <w:pPr>
              <w:jc w:val="center"/>
            </w:pPr>
            <w:r>
              <w:rPr>
                <w:rFonts w:ascii="Calibri" w:hAnsi="Calibri"/>
                <w:b/>
                <w:color w:val="FFFFFF"/>
                <w:sz w:val="19"/>
              </w:rPr>
              <w:t>Date</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3597F70" w14:textId="77777777" w:rsidR="000E1D8C" w:rsidRDefault="00000000">
            <w:pPr>
              <w:jc w:val="center"/>
            </w:pPr>
            <w:r>
              <w:rPr>
                <w:rFonts w:ascii="Calibri" w:hAnsi="Calibri"/>
                <w:b/>
                <w:color w:val="FFFFFF"/>
                <w:sz w:val="19"/>
              </w:rPr>
              <w:t>Author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6B7AAA2D" w14:textId="77777777" w:rsidR="000E1D8C" w:rsidRDefault="00000000">
            <w:pPr>
              <w:jc w:val="center"/>
            </w:pPr>
            <w:r>
              <w:rPr>
                <w:rFonts w:ascii="Calibri" w:hAnsi="Calibri"/>
                <w:b/>
                <w:color w:val="FFFFFF"/>
                <w:sz w:val="19"/>
              </w:rPr>
              <w:t>Reviewer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5BDF6CEB" w14:textId="77777777" w:rsidR="000E1D8C" w:rsidRDefault="00000000">
            <w:pPr>
              <w:jc w:val="center"/>
            </w:pPr>
            <w:r>
              <w:rPr>
                <w:rFonts w:ascii="Calibri" w:hAnsi="Calibri"/>
                <w:b/>
                <w:color w:val="FFFFFF"/>
                <w:sz w:val="19"/>
              </w:rPr>
              <w:t>Approver</w:t>
            </w:r>
          </w:p>
        </w:tc>
        <w:tc>
          <w:tcPr>
            <w:tcW w:w="1419"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256254DB" w14:textId="77777777" w:rsidR="000E1D8C" w:rsidRDefault="00000000">
            <w:pPr>
              <w:jc w:val="center"/>
            </w:pPr>
            <w:r>
              <w:rPr>
                <w:rFonts w:ascii="Calibri" w:hAnsi="Calibri"/>
                <w:b/>
                <w:color w:val="FFFFFF"/>
                <w:sz w:val="19"/>
              </w:rPr>
              <w:t>Status</w:t>
            </w:r>
          </w:p>
        </w:tc>
        <w:tc>
          <w:tcPr>
            <w:tcW w:w="173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485E1519" w14:textId="77777777" w:rsidR="000E1D8C" w:rsidRDefault="00000000">
            <w:pPr>
              <w:jc w:val="center"/>
            </w:pPr>
            <w:r>
              <w:rPr>
                <w:rFonts w:ascii="Calibri" w:hAnsi="Calibri"/>
                <w:b/>
                <w:color w:val="FFFFFF"/>
                <w:sz w:val="19"/>
              </w:rPr>
              <w:t>Change Summary</w:t>
            </w:r>
          </w:p>
        </w:tc>
      </w:tr>
      <w:tr w:rsidR="000E1D8C" w14:paraId="11C4AE9D" w14:textId="77777777" w:rsidTr="00C33DF4">
        <w:trPr>
          <w:jc w:val="center"/>
        </w:trPr>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954E256" w14:textId="77777777" w:rsidR="000E1D8C" w:rsidRDefault="00000000">
            <w:pPr>
              <w:jc w:val="center"/>
            </w:pPr>
            <w:r>
              <w:rPr>
                <w:rFonts w:ascii="Calibri" w:hAnsi="Calibri"/>
                <w:b/>
                <w:color w:val="000000"/>
                <w:sz w:val="18"/>
              </w:rPr>
              <w:t>v1.0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87BE16C" w14:textId="77777777" w:rsidR="000E1D8C" w:rsidRDefault="00000000">
            <w:pPr>
              <w:jc w:val="center"/>
            </w:pPr>
            <w:r>
              <w:rPr>
                <w:rFonts w:ascii="Calibri" w:hAnsi="Calibri"/>
                <w:color w:val="000000"/>
                <w:sz w:val="18"/>
              </w:rPr>
              <w:t>2026-02-20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383C074" w14:textId="77777777" w:rsidR="000E1D8C" w:rsidRDefault="00000000">
            <w:r>
              <w:rPr>
                <w:rFonts w:ascii="Calibri" w:hAnsi="Calibri"/>
                <w:color w:val="000000"/>
                <w:sz w:val="18"/>
              </w:rPr>
              <w:t>AI Governance Lead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07B0246" w14:textId="77777777" w:rsidR="000E1D8C" w:rsidRDefault="00000000">
            <w:r>
              <w:rPr>
                <w:rFonts w:ascii="Calibri" w:hAnsi="Calibri"/>
                <w:color w:val="000000"/>
                <w:sz w:val="18"/>
              </w:rPr>
              <w:t>Compliance</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A1312FD" w14:textId="77777777" w:rsidR="000E1D8C" w:rsidRDefault="00000000">
            <w:r>
              <w:rPr>
                <w:rFonts w:ascii="Calibri" w:hAnsi="Calibri"/>
                <w:color w:val="000000"/>
                <w:sz w:val="18"/>
              </w:rPr>
              <w:t>AI Governance Committee</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8CC72C3" w14:textId="77777777" w:rsidR="000E1D8C" w:rsidRDefault="00000000">
            <w:pPr>
              <w:jc w:val="center"/>
            </w:pPr>
            <w:r>
              <w:rPr>
                <w:rFonts w:ascii="Calibri" w:hAnsi="Calibri"/>
                <w:color w:val="000000"/>
                <w:sz w:val="18"/>
              </w:rPr>
              <w:t>Superseded</w:t>
            </w:r>
          </w:p>
        </w:tc>
        <w:tc>
          <w:tcPr>
            <w:tcW w:w="173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65B9089" w14:textId="77777777" w:rsidR="000E1D8C" w:rsidRDefault="00000000">
            <w:r>
              <w:rPr>
                <w:rFonts w:ascii="Calibri" w:hAnsi="Calibri"/>
                <w:color w:val="000000"/>
                <w:sz w:val="18"/>
              </w:rPr>
              <w:t>Initial policy establishing high-level ethical principles.</w:t>
            </w:r>
          </w:p>
        </w:tc>
      </w:tr>
      <w:tr w:rsidR="000E1D8C" w14:paraId="65522F9E" w14:textId="77777777" w:rsidTr="00C33DF4">
        <w:trPr>
          <w:jc w:val="center"/>
        </w:trPr>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16B8484" w14:textId="77777777" w:rsidR="000E1D8C" w:rsidRDefault="00000000">
            <w:pPr>
              <w:jc w:val="center"/>
            </w:pPr>
            <w:r>
              <w:rPr>
                <w:rFonts w:ascii="Calibri" w:hAnsi="Calibri"/>
                <w:b/>
                <w:color w:val="000000"/>
                <w:sz w:val="18"/>
              </w:rPr>
              <w:t>v1.1</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4C7A0BB" w14:textId="77777777" w:rsidR="000E1D8C" w:rsidRDefault="00000000">
            <w:pPr>
              <w:jc w:val="center"/>
            </w:pPr>
            <w:r>
              <w:rPr>
                <w:rFonts w:ascii="Calibri" w:hAnsi="Calibri"/>
                <w:color w:val="000000"/>
                <w:sz w:val="18"/>
              </w:rPr>
              <w:t>2026-09-10</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96E0B8A" w14:textId="77777777" w:rsidR="000E1D8C" w:rsidRDefault="00000000">
            <w:r>
              <w:rPr>
                <w:rFonts w:ascii="Calibri" w:hAnsi="Calibri"/>
                <w:color w:val="000000"/>
                <w:sz w:val="18"/>
              </w:rPr>
              <w:t>AI Governance Lead</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DBD6C4C" w14:textId="77777777" w:rsidR="000E1D8C" w:rsidRDefault="00000000">
            <w:r>
              <w:rPr>
                <w:rFonts w:ascii="Calibri" w:hAnsi="Calibri"/>
                <w:color w:val="000000"/>
                <w:sz w:val="18"/>
              </w:rPr>
              <w:t>Compliance; Legal</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6F07E2B" w14:textId="77777777" w:rsidR="000E1D8C" w:rsidRDefault="00000000">
            <w:r>
              <w:rPr>
                <w:rFonts w:ascii="Calibri" w:hAnsi="Calibri"/>
                <w:color w:val="000000"/>
                <w:sz w:val="18"/>
              </w:rPr>
              <w:t>AI Governance Committee</w:t>
            </w:r>
          </w:p>
        </w:tc>
        <w:tc>
          <w:tcPr>
            <w:tcW w:w="1419"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3251A4E" w14:textId="77777777" w:rsidR="000E1D8C" w:rsidRDefault="00000000">
            <w:pPr>
              <w:jc w:val="center"/>
            </w:pPr>
            <w:r>
              <w:rPr>
                <w:rFonts w:ascii="Calibri" w:hAnsi="Calibri"/>
                <w:color w:val="000000"/>
                <w:sz w:val="18"/>
              </w:rPr>
              <w:t>Superseded</w:t>
            </w:r>
          </w:p>
        </w:tc>
        <w:tc>
          <w:tcPr>
            <w:tcW w:w="173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16EDE48" w14:textId="77777777" w:rsidR="000E1D8C" w:rsidRDefault="00000000">
            <w:r>
              <w:rPr>
                <w:rFonts w:ascii="Calibri" w:hAnsi="Calibri"/>
                <w:color w:val="000000"/>
                <w:sz w:val="18"/>
              </w:rPr>
              <w:t>Operational procedures separated out to A-36 and A-37; principles restated as testable commitments.</w:t>
            </w:r>
          </w:p>
        </w:tc>
      </w:tr>
    </w:tbl>
    <w:p w14:paraId="2108354C" w14:textId="77777777" w:rsidR="000E1D8C" w:rsidRDefault="000E1D8C"/>
    <w:p w14:paraId="52F16CEA" w14:textId="77777777" w:rsidR="000E1D8C" w:rsidRDefault="00000000">
      <w:pPr>
        <w:spacing w:after="80"/>
      </w:pPr>
      <w:r>
        <w:rPr>
          <w:rFonts w:ascii="Calibri" w:hAnsi="Calibri"/>
          <w:b/>
          <w:color w:val="1F3864"/>
          <w:sz w:val="28"/>
        </w:rPr>
        <w:t>1. Scope and Separation of Policy from Procedure</w:t>
      </w:r>
    </w:p>
    <w:p w14:paraId="12EC31B7" w14:textId="77777777" w:rsidR="000E1D8C" w:rsidRDefault="00000000">
      <w:pPr>
        <w:spacing w:after="80"/>
      </w:pPr>
      <w:r>
        <w:rPr>
          <w:rFonts w:ascii="Calibri" w:hAnsi="Calibri"/>
          <w:sz w:val="20"/>
        </w:rPr>
        <w:t>Version 1.0 of this policy stated ethical principles while simultaneously prescribing step-by-step instructions on how a loan underwriter should inspect outputs. Those serve different audiences and different operational functions. The procedural mechanics have been formally separated into the Human Oversight and Escalation Procedure (A-36) and the Adverse Action and Customer Recourse Procedure (A-37). This policy establishes the constitutional ethical commitments that those procedures implement and operationalize.</w:t>
      </w:r>
    </w:p>
    <w:p w14:paraId="0A3BF1C1" w14:textId="77777777" w:rsidR="000E1D8C" w:rsidRDefault="00000000">
      <w:pPr>
        <w:spacing w:after="160"/>
      </w:pPr>
      <w:r>
        <w:rPr>
          <w:rFonts w:ascii="Calibri" w:hAnsi="Calibri"/>
          <w:sz w:val="20"/>
        </w:rPr>
        <w:t>The structural distinction is critical: an abstract principle cannot be audited, but an operationalized procedure can. Every commitment in Section 3 names the exact delivery procedure that enforces it and the quantitative metric that reveals if it fails. An ethical commitment without an operationalized procedure and a failure metric is merely an unfalsifiable statement of intent.</w:t>
      </w:r>
    </w:p>
    <w:p w14:paraId="38B63C66" w14:textId="77777777" w:rsidR="000E1D8C" w:rsidRDefault="00000000">
      <w:pPr>
        <w:spacing w:after="80"/>
      </w:pPr>
      <w:r>
        <w:rPr>
          <w:rFonts w:ascii="Calibri" w:hAnsi="Calibri"/>
          <w:b/>
          <w:color w:val="1F3864"/>
          <w:sz w:val="28"/>
        </w:rPr>
        <w:t>2. Governing Position: Defensibility to the Affected Applicant</w:t>
      </w:r>
    </w:p>
    <w:p w14:paraId="4237F33D" w14:textId="77777777" w:rsidR="000E1D8C" w:rsidRDefault="00000000">
      <w:r>
        <w:rPr>
          <w:rFonts w:ascii="Calibri" w:hAnsi="Calibri"/>
          <w:sz w:val="20"/>
        </w:rPr>
        <w:t>The fundamental ethical benchmark applied throughout this framework is not whether a decision is technically defensible to an internal audit team or legally defensible to a regulatory supervisor. It is whether the decision is transparently and legitimately defensible to the applicant whose life and financial wellbeing it directly affects. In credit decisioning, regulatory and customer interests frequently align. Where they diverge, the standard of defensibility to the affected natural person strictly governs system operation.</w:t>
      </w:r>
    </w:p>
    <w:p w14:paraId="777B515C" w14:textId="77777777" w:rsidR="000E1D8C" w:rsidRDefault="00000000">
      <w:pPr>
        <w:spacing w:after="80"/>
      </w:pPr>
      <w:r>
        <w:rPr>
          <w:rFonts w:ascii="Calibri" w:hAnsi="Calibri"/>
          <w:b/>
          <w:color w:val="1F3864"/>
          <w:sz w:val="28"/>
        </w:rPr>
        <w:t>3. Ethical Commitments, Operationalization, and Failure Indicators</w:t>
      </w:r>
    </w:p>
    <w:p w14:paraId="50ED2D55" w14:textId="77777777" w:rsidR="000E1D8C" w:rsidRDefault="00000000">
      <w:pPr>
        <w:spacing w:after="120"/>
      </w:pPr>
      <w:r>
        <w:rPr>
          <w:rFonts w:ascii="Calibri" w:hAnsi="Calibri"/>
          <w:sz w:val="20"/>
        </w:rPr>
        <w:t>Ethical governance requires binding accountability. Each ethical commitment is paired with its operational delivery mechanism and its explicit failure signature:</w:t>
      </w:r>
    </w:p>
    <w:tbl>
      <w:tblPr>
        <w:tblW w:w="0" w:type="auto"/>
        <w:jc w:val="center"/>
        <w:tblLook w:val="04A0" w:firstRow="1" w:lastRow="0" w:firstColumn="1" w:lastColumn="0" w:noHBand="0" w:noVBand="1"/>
      </w:tblPr>
      <w:tblGrid>
        <w:gridCol w:w="2484"/>
        <w:gridCol w:w="2484"/>
        <w:gridCol w:w="2484"/>
        <w:gridCol w:w="2484"/>
      </w:tblGrid>
      <w:tr w:rsidR="000E1D8C" w14:paraId="32F055F9"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35F0F9E9" w14:textId="77777777" w:rsidR="000E1D8C" w:rsidRDefault="00000000">
            <w:pPr>
              <w:jc w:val="center"/>
            </w:pPr>
            <w:r>
              <w:rPr>
                <w:rFonts w:ascii="Calibri" w:hAnsi="Calibri"/>
                <w:b/>
                <w:color w:val="FFFFFF"/>
                <w:sz w:val="19"/>
              </w:rPr>
              <w:t>Ethical Principle</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78B025ED" w14:textId="77777777" w:rsidR="000E1D8C" w:rsidRDefault="00000000">
            <w:r>
              <w:rPr>
                <w:rFonts w:ascii="Calibri" w:hAnsi="Calibri"/>
                <w:b/>
                <w:color w:val="FFFFFF"/>
                <w:sz w:val="19"/>
              </w:rPr>
              <w:t>Testable Policy Commitment</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8ABDD7A" w14:textId="77777777" w:rsidR="000E1D8C" w:rsidRDefault="00000000">
            <w:r>
              <w:rPr>
                <w:rFonts w:ascii="Calibri" w:hAnsi="Calibri"/>
                <w:b/>
                <w:color w:val="FFFFFF"/>
                <w:sz w:val="19"/>
              </w:rPr>
              <w:t>Operationalised By</w:t>
            </w:r>
          </w:p>
        </w:tc>
        <w:tc>
          <w:tcPr>
            <w:tcW w:w="2484" w:type="dxa"/>
            <w:tcBorders>
              <w:top w:val="single" w:sz="4" w:space="0" w:color="BFBFBF"/>
              <w:left w:val="single" w:sz="4" w:space="0" w:color="BFBFBF"/>
              <w:bottom w:val="single" w:sz="4" w:space="0" w:color="BFBFBF"/>
              <w:right w:val="single" w:sz="4" w:space="0" w:color="BFBFBF"/>
            </w:tcBorders>
            <w:shd w:val="clear" w:color="auto" w:fill="1F3864"/>
            <w:tcMar>
              <w:top w:w="120" w:type="dxa"/>
              <w:left w:w="160" w:type="dxa"/>
              <w:bottom w:w="120" w:type="dxa"/>
              <w:right w:w="160" w:type="dxa"/>
            </w:tcMar>
          </w:tcPr>
          <w:p w14:paraId="145C45D9" w14:textId="77777777" w:rsidR="000E1D8C" w:rsidRDefault="00000000">
            <w:r>
              <w:rPr>
                <w:rFonts w:ascii="Calibri" w:hAnsi="Calibri"/>
                <w:b/>
                <w:color w:val="FFFFFF"/>
                <w:sz w:val="19"/>
              </w:rPr>
              <w:t>How Failure Shows (Metric)</w:t>
            </w:r>
          </w:p>
        </w:tc>
      </w:tr>
      <w:tr w:rsidR="000E1D8C" w14:paraId="29DA0255"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91EF784" w14:textId="77777777" w:rsidR="000E1D8C" w:rsidRDefault="00000000">
            <w:pPr>
              <w:jc w:val="center"/>
            </w:pPr>
            <w:r>
              <w:rPr>
                <w:rFonts w:ascii="Calibri" w:hAnsi="Calibri"/>
                <w:b/>
                <w:color w:val="1F3864"/>
                <w:sz w:val="18"/>
              </w:rPr>
              <w:t>Fairness &amp; Non-Discrimination</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40A566C" w14:textId="77777777" w:rsidR="000E1D8C" w:rsidRDefault="00000000">
            <w:r>
              <w:rPr>
                <w:rFonts w:ascii="Calibri" w:hAnsi="Calibri"/>
                <w:color w:val="000000"/>
                <w:sz w:val="18"/>
              </w:rPr>
              <w:t xml:space="preserve">No system will be deployed that produces materially different outcomes for </w:t>
            </w:r>
            <w:r>
              <w:rPr>
                <w:rFonts w:ascii="Calibri" w:hAnsi="Calibri"/>
                <w:color w:val="000000"/>
                <w:sz w:val="18"/>
              </w:rPr>
              <w:lastRenderedPageBreak/>
              <w:t>applicants with materially identical circumstances on a protected characteristic or geographic proxy.</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BA25469" w14:textId="77777777" w:rsidR="000E1D8C" w:rsidRDefault="00000000">
            <w:r>
              <w:rPr>
                <w:rFonts w:ascii="Calibri" w:hAnsi="Calibri"/>
                <w:color w:val="000000"/>
                <w:sz w:val="18"/>
              </w:rPr>
              <w:lastRenderedPageBreak/>
              <w:t xml:space="preserve">Pre-declared disparity thresholds (DIR &gt;= 0.80); counterfactual pair testing </w:t>
            </w:r>
            <w:r>
              <w:rPr>
                <w:rFonts w:ascii="Calibri" w:hAnsi="Calibri"/>
                <w:color w:val="000000"/>
                <w:sz w:val="18"/>
              </w:rPr>
              <w:lastRenderedPageBreak/>
              <w:t>before deployment and quarterly thereafter.</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D8D1E8D" w14:textId="77777777" w:rsidR="000E1D8C" w:rsidRDefault="00000000">
            <w:r>
              <w:rPr>
                <w:rFonts w:ascii="Calibri" w:hAnsi="Calibri"/>
                <w:color w:val="000000"/>
                <w:sz w:val="18"/>
              </w:rPr>
              <w:lastRenderedPageBreak/>
              <w:t xml:space="preserve">Selection rate ratio (DIR) below 0.80 across any demographic or planning </w:t>
            </w:r>
            <w:r>
              <w:rPr>
                <w:rFonts w:ascii="Calibri" w:hAnsi="Calibri"/>
                <w:color w:val="000000"/>
                <w:sz w:val="18"/>
              </w:rPr>
              <w:lastRenderedPageBreak/>
              <w:t>segment (A-15).</w:t>
            </w:r>
          </w:p>
        </w:tc>
      </w:tr>
      <w:tr w:rsidR="000E1D8C" w14:paraId="3E35F2A5"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2B983B24" w14:textId="77777777" w:rsidR="000E1D8C" w:rsidRDefault="00000000">
            <w:pPr>
              <w:jc w:val="center"/>
            </w:pPr>
            <w:r>
              <w:rPr>
                <w:rFonts w:ascii="Calibri" w:hAnsi="Calibri"/>
                <w:b/>
                <w:color w:val="1F3864"/>
                <w:sz w:val="18"/>
              </w:rPr>
              <w:lastRenderedPageBreak/>
              <w:t>Fairness &amp; Non-Discrimination</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A2199C4" w14:textId="77777777" w:rsidR="000E1D8C" w:rsidRDefault="00000000">
            <w:r>
              <w:rPr>
                <w:rFonts w:ascii="Calibri" w:hAnsi="Calibri"/>
                <w:color w:val="000000"/>
                <w:sz w:val="18"/>
              </w:rPr>
              <w:t>Testing thresholds are pre-declared before testing execution begins and must never be adjusted, rounded, or relaxed in response to failing results.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614A4D5" w14:textId="77777777" w:rsidR="000E1D8C" w:rsidRDefault="00000000">
            <w:r>
              <w:rPr>
                <w:rFonts w:ascii="Calibri" w:hAnsi="Calibri"/>
                <w:color w:val="000000"/>
                <w:sz w:val="18"/>
              </w:rPr>
              <w:t>Thresholds written into validation harness and test charters prior to data exposure.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10454CD" w14:textId="77777777" w:rsidR="000E1D8C" w:rsidRDefault="00000000">
            <w:r>
              <w:rPr>
                <w:rFonts w:ascii="Calibri" w:hAnsi="Calibri"/>
                <w:color w:val="000000"/>
                <w:sz w:val="18"/>
              </w:rPr>
              <w:t>A threshold amended, relaxed, or negotiated post-test without an audit trail.</w:t>
            </w:r>
          </w:p>
        </w:tc>
      </w:tr>
      <w:tr w:rsidR="000E1D8C" w14:paraId="0A0CF59B"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36AA8A4B" w14:textId="77777777" w:rsidR="000E1D8C" w:rsidRDefault="00000000">
            <w:pPr>
              <w:jc w:val="center"/>
            </w:pPr>
            <w:r>
              <w:rPr>
                <w:rFonts w:ascii="Calibri" w:hAnsi="Calibri"/>
                <w:b/>
                <w:color w:val="1F3864"/>
                <w:sz w:val="18"/>
              </w:rPr>
              <w:t>Transparency &amp; Explainability</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7883DBB" w14:textId="77777777" w:rsidR="000E1D8C" w:rsidRDefault="00000000">
            <w:r>
              <w:rPr>
                <w:rFonts w:ascii="Calibri" w:hAnsi="Calibri"/>
                <w:color w:val="000000"/>
                <w:sz w:val="18"/>
              </w:rPr>
              <w:t>Every applicant affected by an adverse decision is explicitly notified of AI assistance, the true principal factors, and the recourse mechanism.</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0B50AA5" w14:textId="77777777" w:rsidR="000E1D8C" w:rsidRDefault="00000000">
            <w:r>
              <w:rPr>
                <w:rFonts w:ascii="Calibri" w:hAnsi="Calibri"/>
                <w:color w:val="000000"/>
                <w:sz w:val="18"/>
              </w:rPr>
              <w:t>A-37 Adverse Action Procedure; automated SHAP attribution generation.</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C66425E" w14:textId="77777777" w:rsidR="000E1D8C" w:rsidRDefault="00000000">
            <w:r>
              <w:rPr>
                <w:rFonts w:ascii="Calibri" w:hAnsi="Calibri"/>
                <w:color w:val="000000"/>
                <w:sz w:val="18"/>
              </w:rPr>
              <w:t>Reason delivered to customer diverging from the true SHAP attributions recorded in WORM audit vault.</w:t>
            </w:r>
          </w:p>
        </w:tc>
      </w:tr>
      <w:tr w:rsidR="000E1D8C" w14:paraId="4406E2BA"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2E36EC8A" w14:textId="77777777" w:rsidR="000E1D8C" w:rsidRDefault="00000000">
            <w:pPr>
              <w:jc w:val="center"/>
            </w:pPr>
            <w:r>
              <w:rPr>
                <w:rFonts w:ascii="Calibri" w:hAnsi="Calibri"/>
                <w:b/>
                <w:color w:val="1F3864"/>
                <w:sz w:val="18"/>
              </w:rPr>
              <w:t>Transparency &amp; Grounding</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C1D2A93" w14:textId="77777777" w:rsidR="000E1D8C" w:rsidRDefault="00000000">
            <w:r>
              <w:rPr>
                <w:rFonts w:ascii="Calibri" w:hAnsi="Calibri"/>
                <w:color w:val="000000"/>
                <w:sz w:val="18"/>
              </w:rPr>
              <w:t>Every narrative rationale generated by the system must cite the verbatim credit policy passage that substantively supports the conclusion.</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5F704F8" w14:textId="77777777" w:rsidR="000E1D8C" w:rsidRDefault="00000000">
            <w:r>
              <w:rPr>
                <w:rFonts w:ascii="Calibri" w:hAnsi="Calibri"/>
                <w:color w:val="000000"/>
                <w:sz w:val="18"/>
              </w:rPr>
              <w:t>GDR-04 grounding block-on-fail algorithm (&gt;= 0.75 floor); mandatory passage-level resolution.</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0868772" w14:textId="77777777" w:rsidR="000E1D8C" w:rsidRDefault="00000000">
            <w:r>
              <w:rPr>
                <w:rFonts w:ascii="Calibri" w:hAnsi="Calibri"/>
                <w:color w:val="000000"/>
                <w:sz w:val="18"/>
              </w:rPr>
              <w:t>Grounding block rate &gt; 8%, or any citation resolving to a document header rather than an exact passage.</w:t>
            </w:r>
          </w:p>
        </w:tc>
      </w:tr>
      <w:tr w:rsidR="000E1D8C" w14:paraId="3BF53D95"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734C9E5" w14:textId="77777777" w:rsidR="000E1D8C" w:rsidRDefault="00000000">
            <w:pPr>
              <w:jc w:val="center"/>
            </w:pPr>
            <w:r>
              <w:rPr>
                <w:rFonts w:ascii="Calibri" w:hAnsi="Calibri"/>
                <w:b/>
                <w:color w:val="1F3864"/>
                <w:sz w:val="18"/>
              </w:rPr>
              <w:t>Accountability &amp; Ownership</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F3230B5" w14:textId="77777777" w:rsidR="000E1D8C" w:rsidRDefault="00000000">
            <w:r>
              <w:rPr>
                <w:rFonts w:ascii="Calibri" w:hAnsi="Calibri"/>
                <w:color w:val="000000"/>
                <w:sz w:val="18"/>
              </w:rPr>
              <w:t>A named executive role is personally accountable for the AI system and each accepted residual risk. Accountability is never held collectively by a committee.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383536A" w14:textId="77777777" w:rsidR="000E1D8C" w:rsidRDefault="00000000">
            <w:r>
              <w:rPr>
                <w:rFonts w:ascii="Calibri" w:hAnsi="Calibri"/>
                <w:color w:val="000000"/>
                <w:sz w:val="18"/>
              </w:rPr>
              <w:t>A-04 §6 Accountability Matrix; A-12 named-role sign-off mandate.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023E42C" w14:textId="77777777" w:rsidR="000E1D8C" w:rsidRDefault="00000000">
            <w:r>
              <w:rPr>
                <w:rFonts w:ascii="Calibri" w:hAnsi="Calibri"/>
                <w:color w:val="000000"/>
                <w:sz w:val="18"/>
              </w:rPr>
              <w:t>Any accepted residual risk in A-09 without a named executive owner and calendar expiry date.</w:t>
            </w:r>
          </w:p>
        </w:tc>
      </w:tr>
      <w:tr w:rsidR="000E1D8C" w14:paraId="6B2DCDA2"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A484F8D" w14:textId="77777777" w:rsidR="000E1D8C" w:rsidRDefault="00000000">
            <w:pPr>
              <w:jc w:val="center"/>
            </w:pPr>
            <w:r>
              <w:rPr>
                <w:rFonts w:ascii="Calibri" w:hAnsi="Calibri"/>
                <w:b/>
                <w:color w:val="1F3864"/>
                <w:sz w:val="18"/>
              </w:rPr>
              <w:t>Accountability &amp; Segregation</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320A691" w14:textId="77777777" w:rsidR="000E1D8C" w:rsidRDefault="00000000">
            <w:r>
              <w:rPr>
                <w:rFonts w:ascii="Calibri" w:hAnsi="Calibri"/>
                <w:color w:val="000000"/>
                <w:sz w:val="18"/>
              </w:rPr>
              <w:t>No approval, release, or risk waiver may be granted by the individual or engineering team that produced the underlying testing evidence.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6A2FA6B" w14:textId="77777777" w:rsidR="000E1D8C" w:rsidRDefault="00000000">
            <w:r>
              <w:rPr>
                <w:rFonts w:ascii="Calibri" w:hAnsi="Calibri"/>
                <w:color w:val="000000"/>
                <w:sz w:val="18"/>
              </w:rPr>
              <w:t>Enforced four-eyes rule; automated credential checks in Lifecycle Gate Approval Log (A-28).</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56DAA5E" w14:textId="77777777" w:rsidR="000E1D8C" w:rsidRDefault="00000000">
            <w:r>
              <w:rPr>
                <w:rFonts w:ascii="Calibri" w:hAnsi="Calibri"/>
                <w:color w:val="000000"/>
                <w:sz w:val="18"/>
              </w:rPr>
              <w:t>Control Check CC-05 failing in the sign-off log (author approving own submission).</w:t>
            </w:r>
          </w:p>
        </w:tc>
      </w:tr>
      <w:tr w:rsidR="000E1D8C" w14:paraId="3B0848FB"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736B8DC" w14:textId="77777777" w:rsidR="000E1D8C" w:rsidRDefault="00000000">
            <w:pPr>
              <w:jc w:val="center"/>
            </w:pPr>
            <w:r>
              <w:rPr>
                <w:rFonts w:ascii="Calibri" w:hAnsi="Calibri"/>
                <w:b/>
                <w:color w:val="1F3864"/>
                <w:sz w:val="18"/>
              </w:rPr>
              <w:t>Human Oversight &amp; Control</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95EB73F" w14:textId="77777777" w:rsidR="000E1D8C" w:rsidRDefault="00000000">
            <w:r>
              <w:rPr>
                <w:rFonts w:ascii="Calibri" w:hAnsi="Calibri"/>
                <w:color w:val="000000"/>
                <w:sz w:val="18"/>
              </w:rPr>
              <w:t>Human underwriters must meaningfully review, understand, and possess the practical authority to override model recommendations.</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1A8D83B" w14:textId="77777777" w:rsidR="000E1D8C" w:rsidRDefault="00000000">
            <w:r>
              <w:rPr>
                <w:rFonts w:ascii="Calibri" w:hAnsi="Calibri"/>
                <w:color w:val="000000"/>
                <w:sz w:val="18"/>
              </w:rPr>
              <w:t>A-36 Four Mandatory Checks; 3.5-minute review floor; two-sided override monitoring band (15%–40%).</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57C424C" w14:textId="77777777" w:rsidR="000E1D8C" w:rsidRDefault="00000000">
            <w:r>
              <w:rPr>
                <w:rFonts w:ascii="Calibri" w:hAnsi="Calibri"/>
                <w:color w:val="000000"/>
                <w:sz w:val="18"/>
              </w:rPr>
              <w:t>Underwriter override rate collapsing below the 15% band floor (M-05), indicating automation bias.</w:t>
            </w:r>
          </w:p>
        </w:tc>
      </w:tr>
      <w:tr w:rsidR="000E1D8C" w14:paraId="23F3BE19"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47E4AA43" w14:textId="77777777" w:rsidR="000E1D8C" w:rsidRDefault="00000000">
            <w:pPr>
              <w:jc w:val="center"/>
            </w:pPr>
            <w:r>
              <w:rPr>
                <w:rFonts w:ascii="Calibri" w:hAnsi="Calibri"/>
                <w:b/>
                <w:color w:val="1F3864"/>
                <w:sz w:val="18"/>
              </w:rPr>
              <w:lastRenderedPageBreak/>
              <w:t>Human Oversight Telemetry</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A64A774" w14:textId="77777777" w:rsidR="000E1D8C" w:rsidRDefault="00000000">
            <w:r>
              <w:rPr>
                <w:rFonts w:ascii="Calibri" w:hAnsi="Calibri"/>
                <w:color w:val="000000"/>
                <w:sz w:val="18"/>
              </w:rPr>
              <w:t>Oversight must be empirically measured through continuous telemetry, never assumed as a qualitative policy intention.</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278E22E" w14:textId="77777777" w:rsidR="000E1D8C" w:rsidRDefault="00000000">
            <w:r>
              <w:rPr>
                <w:rFonts w:ascii="Calibri" w:hAnsi="Calibri"/>
                <w:color w:val="000000"/>
                <w:sz w:val="18"/>
              </w:rPr>
              <w:t>Monthly CloudWatch / Athena operational metrics reporting; audit sampling.</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28A0522" w14:textId="77777777" w:rsidR="000E1D8C" w:rsidRDefault="00000000">
            <w:r>
              <w:rPr>
                <w:rFonts w:ascii="Calibri" w:hAnsi="Calibri"/>
                <w:color w:val="000000"/>
                <w:sz w:val="18"/>
              </w:rPr>
              <w:t>Absence of review duration tracking or omission of monthly override telemetry reports.</w:t>
            </w:r>
          </w:p>
        </w:tc>
      </w:tr>
      <w:tr w:rsidR="000E1D8C" w14:paraId="0A83DFBC"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58D08944" w14:textId="77777777" w:rsidR="000E1D8C" w:rsidRDefault="00000000">
            <w:pPr>
              <w:jc w:val="center"/>
            </w:pPr>
            <w:r>
              <w:rPr>
                <w:rFonts w:ascii="Calibri" w:hAnsi="Calibri"/>
                <w:b/>
                <w:color w:val="1F3864"/>
                <w:sz w:val="18"/>
              </w:rPr>
              <w:t>Right to Contest &amp; Recourse</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32EDAC8" w14:textId="77777777" w:rsidR="000E1D8C" w:rsidRDefault="00000000">
            <w:r>
              <w:rPr>
                <w:rFonts w:ascii="Calibri" w:hAnsi="Calibri"/>
                <w:color w:val="000000"/>
                <w:sz w:val="18"/>
              </w:rPr>
              <w:t>Every declined applicant has the unconditional statutory right to contest the automated decision and obtain independent review by a different officer.</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78C05C5" w14:textId="77777777" w:rsidR="000E1D8C" w:rsidRDefault="00000000">
            <w:r>
              <w:rPr>
                <w:rFonts w:ascii="Calibri" w:hAnsi="Calibri"/>
                <w:color w:val="000000"/>
                <w:sz w:val="18"/>
              </w:rPr>
              <w:t>A-37 Customer Recourse Procedure enforcing independent review within a 10 working day SLA floor.</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1C62B9C" w14:textId="77777777" w:rsidR="000E1D8C" w:rsidRDefault="00000000">
            <w:r>
              <w:rPr>
                <w:rFonts w:ascii="Calibri" w:hAnsi="Calibri"/>
                <w:color w:val="000000"/>
                <w:sz w:val="18"/>
              </w:rPr>
              <w:t>Contested application routed back to the original reviewing officer or unresolved after 10 days.</w:t>
            </w:r>
          </w:p>
        </w:tc>
      </w:tr>
      <w:tr w:rsidR="000E1D8C" w14:paraId="0281C3B5" w14:textId="77777777">
        <w:trPr>
          <w:jc w:val="center"/>
        </w:trPr>
        <w:tc>
          <w:tcPr>
            <w:tcW w:w="2484" w:type="dxa"/>
            <w:tcBorders>
              <w:top w:val="single" w:sz="4" w:space="0" w:color="BFBFBF"/>
              <w:left w:val="single" w:sz="4" w:space="0" w:color="BFBFBF"/>
              <w:bottom w:val="single" w:sz="4" w:space="0" w:color="BFBFBF"/>
              <w:right w:val="single" w:sz="4" w:space="0" w:color="BFBFBF"/>
            </w:tcBorders>
            <w:shd w:val="clear" w:color="auto" w:fill="F2F4F7"/>
            <w:tcMar>
              <w:top w:w="120" w:type="dxa"/>
              <w:left w:w="160" w:type="dxa"/>
              <w:bottom w:w="120" w:type="dxa"/>
              <w:right w:w="160" w:type="dxa"/>
            </w:tcMar>
          </w:tcPr>
          <w:p w14:paraId="002ADD88" w14:textId="77777777" w:rsidR="000E1D8C" w:rsidRDefault="00000000">
            <w:pPr>
              <w:jc w:val="center"/>
            </w:pPr>
            <w:r>
              <w:rPr>
                <w:rFonts w:ascii="Calibri" w:hAnsi="Calibri"/>
                <w:b/>
                <w:color w:val="1F3864"/>
                <w:sz w:val="18"/>
              </w:rPr>
              <w:t>Proportionality &amp; Restraint</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78160A8" w14:textId="77777777" w:rsidR="000E1D8C" w:rsidRDefault="00000000">
            <w:r>
              <w:rPr>
                <w:rFonts w:ascii="Calibri" w:hAnsi="Calibri"/>
                <w:color w:val="000000"/>
                <w:sz w:val="18"/>
              </w:rPr>
              <w:t>The organisation will decline or suspend any AI use case it cannot govern, audit, or explain to the affected applicant.</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965D3FE" w14:textId="77777777" w:rsidR="000E1D8C" w:rsidRDefault="00000000">
            <w:r>
              <w:rPr>
                <w:rFonts w:ascii="Calibri" w:hAnsi="Calibri"/>
                <w:color w:val="000000"/>
                <w:sz w:val="18"/>
              </w:rPr>
              <w:t>Phase 1 D1 screening gate; A-01 Use Case Inventory permanent rejection register.</w:t>
            </w:r>
          </w:p>
        </w:tc>
        <w:tc>
          <w:tcPr>
            <w:tcW w:w="2484"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28279A7" w14:textId="77777777" w:rsidR="000E1D8C" w:rsidRDefault="00000000">
            <w:r>
              <w:rPr>
                <w:rFonts w:ascii="Calibri" w:hAnsi="Calibri"/>
                <w:color w:val="000000"/>
                <w:sz w:val="18"/>
              </w:rPr>
              <w:t>An enterprise use case inventory that records zero rejections under business pressure.</w:t>
            </w:r>
          </w:p>
        </w:tc>
      </w:tr>
    </w:tbl>
    <w:p w14:paraId="473DA0A4" w14:textId="77777777" w:rsidR="000E1D8C" w:rsidRDefault="000E1D8C"/>
    <w:p w14:paraId="22487BAA" w14:textId="1F4DF30D" w:rsidR="000E1D8C" w:rsidRDefault="00000000">
      <w:pPr>
        <w:spacing w:after="80"/>
      </w:pPr>
      <w:r>
        <w:rPr>
          <w:rFonts w:ascii="Calibri" w:hAnsi="Calibri"/>
          <w:b/>
          <w:color w:val="1F3864"/>
          <w:sz w:val="28"/>
        </w:rPr>
        <w:t xml:space="preserve">4. Human Oversight </w:t>
      </w:r>
      <w:r w:rsidR="00C33DF4">
        <w:rPr>
          <w:rFonts w:ascii="Calibri" w:hAnsi="Calibri"/>
          <w:b/>
          <w:color w:val="1F3864"/>
          <w:sz w:val="28"/>
        </w:rPr>
        <w:t>-</w:t>
      </w:r>
      <w:r>
        <w:rPr>
          <w:rFonts w:ascii="Calibri" w:hAnsi="Calibri"/>
          <w:b/>
          <w:color w:val="1F3864"/>
          <w:sz w:val="28"/>
        </w:rPr>
        <w:t xml:space="preserve"> The Operational Mandate Stated Exactly</w:t>
      </w:r>
    </w:p>
    <w:p w14:paraId="51BCE932" w14:textId="77777777" w:rsidR="000E1D8C" w:rsidRDefault="00000000">
      <w:pPr>
        <w:spacing w:after="80"/>
      </w:pPr>
      <w:r>
        <w:rPr>
          <w:rFonts w:ascii="Calibri" w:hAnsi="Calibri"/>
          <w:sz w:val="20"/>
        </w:rPr>
        <w:t>Human oversight is the safeguard most vulnerable to operational decay under commercial volume pressure. To satisfy EU AI Act Article 14 and MAS FEAT Accountability standards, the following non-negotiable operational rules are enforced across the lending estate:</w:t>
      </w:r>
    </w:p>
    <w:p w14:paraId="574B0518" w14:textId="77777777" w:rsidR="000E1D8C" w:rsidRDefault="00000000">
      <w:pPr>
        <w:spacing w:after="60"/>
      </w:pPr>
      <w:r>
        <w:rPr>
          <w:rFonts w:ascii="Calibri" w:hAnsi="Calibri"/>
          <w:b/>
          <w:color w:val="1F3864"/>
          <w:sz w:val="19"/>
        </w:rPr>
        <w:t xml:space="preserve">• Draft Status in All Circumstances: </w:t>
      </w:r>
      <w:r>
        <w:rPr>
          <w:rFonts w:ascii="Calibri" w:hAnsi="Calibri"/>
          <w:sz w:val="19"/>
        </w:rPr>
        <w:t>A model recommendation is strictly a draft advisory input. It is never an automated or legally binding decision. Legal authority vests solely in the credentialed underwriter.</w:t>
      </w:r>
    </w:p>
    <w:p w14:paraId="740F5311" w14:textId="77777777" w:rsidR="000E1D8C" w:rsidRDefault="00000000">
      <w:pPr>
        <w:spacing w:after="60"/>
      </w:pPr>
      <w:r>
        <w:rPr>
          <w:rFonts w:ascii="Calibri" w:hAnsi="Calibri"/>
          <w:b/>
          <w:color w:val="1F3864"/>
          <w:sz w:val="19"/>
        </w:rPr>
        <w:t xml:space="preserve">• Meaningful Override Expectation: </w:t>
      </w:r>
      <w:r>
        <w:rPr>
          <w:rFonts w:ascii="Calibri" w:hAnsi="Calibri"/>
          <w:sz w:val="19"/>
        </w:rPr>
        <w:t>Reviewing underwriters must possess the technical autonomy to reach a different conclusion, and must demonstrate this in practice. An override rate approaching zero is definitive evidence of automation bias and rubber-stamping, not model perfection.</w:t>
      </w:r>
    </w:p>
    <w:p w14:paraId="0AF29BDB" w14:textId="77777777" w:rsidR="000E1D8C" w:rsidRDefault="00000000">
      <w:pPr>
        <w:spacing w:after="60"/>
      </w:pPr>
      <w:r>
        <w:rPr>
          <w:rFonts w:ascii="Calibri" w:hAnsi="Calibri"/>
          <w:b/>
          <w:color w:val="1F3864"/>
          <w:sz w:val="19"/>
        </w:rPr>
        <w:t xml:space="preserve">• Mandatory Escalation on Unclear Rationale: </w:t>
      </w:r>
      <w:r>
        <w:rPr>
          <w:rFonts w:ascii="Calibri" w:hAnsi="Calibri"/>
          <w:sz w:val="19"/>
        </w:rPr>
        <w:t>An underwriter who cannot independently understand why a retrieved policy passage supports an adverse-action recommendation must escalate the application to a Senior Underwriter, not approve it. Approving an opaque or ungrounded rationale violates Article 14.</w:t>
      </w:r>
    </w:p>
    <w:p w14:paraId="1851CA99" w14:textId="77777777" w:rsidR="000E1D8C" w:rsidRDefault="00000000">
      <w:pPr>
        <w:spacing w:after="60"/>
      </w:pPr>
      <w:r>
        <w:rPr>
          <w:rFonts w:ascii="Calibri" w:hAnsi="Calibri"/>
          <w:b/>
          <w:color w:val="1F3864"/>
          <w:sz w:val="19"/>
        </w:rPr>
        <w:t xml:space="preserve">• Strict Prohibition of Bulk Acceptance: </w:t>
      </w:r>
      <w:r>
        <w:rPr>
          <w:rFonts w:ascii="Calibri" w:hAnsi="Calibri"/>
          <w:sz w:val="19"/>
        </w:rPr>
        <w:t>Batch approvals, one-click 'Accept All' functions, and automated bypass mechanisms are prohibited by design. The user interface must never be engineered to permit bulk adjudication.</w:t>
      </w:r>
    </w:p>
    <w:p w14:paraId="14D5FF3D" w14:textId="77777777" w:rsidR="000E1D8C" w:rsidRDefault="00000000">
      <w:pPr>
        <w:spacing w:after="60"/>
      </w:pPr>
      <w:r>
        <w:rPr>
          <w:rFonts w:ascii="Calibri" w:hAnsi="Calibri"/>
          <w:b/>
          <w:color w:val="1F3864"/>
          <w:sz w:val="19"/>
        </w:rPr>
        <w:t xml:space="preserve">• Check 4 as an Escalation Trigger: </w:t>
      </w:r>
      <w:r>
        <w:rPr>
          <w:rFonts w:ascii="Calibri" w:hAnsi="Calibri"/>
          <w:sz w:val="19"/>
        </w:rPr>
        <w:t>An underwriter is never held individually liable for an algorithmic bias or data quality defect originating upstream. Underwriter Check 4 ('Nothing impermissible informed outcome') is an escalation trigger to Model Risk, not an editorial correction instruction. Treating it as an editorial task would incentivize officers to conceal systemic control failures.</w:t>
      </w:r>
    </w:p>
    <w:p w14:paraId="70AD8EB7" w14:textId="77777777" w:rsidR="000E1D8C" w:rsidRDefault="000E1D8C">
      <w:pPr>
        <w:spacing w:after="160"/>
      </w:pPr>
    </w:p>
    <w:p w14:paraId="4D48EE3A" w14:textId="77777777" w:rsidR="000E1D8C" w:rsidRDefault="00000000">
      <w:pPr>
        <w:spacing w:after="80"/>
      </w:pPr>
      <w:r>
        <w:rPr>
          <w:rFonts w:ascii="Calibri" w:hAnsi="Calibri"/>
          <w:b/>
          <w:color w:val="1F3864"/>
          <w:sz w:val="28"/>
        </w:rPr>
        <w:t>5. Prohibited AI Applications and Practice Boundaries</w:t>
      </w:r>
    </w:p>
    <w:p w14:paraId="01E808B5" w14:textId="77777777" w:rsidR="000E1D8C" w:rsidRDefault="00000000">
      <w:pPr>
        <w:spacing w:after="80"/>
      </w:pPr>
      <w:r>
        <w:rPr>
          <w:rFonts w:ascii="Calibri" w:hAnsi="Calibri"/>
          <w:sz w:val="20"/>
        </w:rPr>
        <w:t>The organisation enforces an absolute prohibition on the following AI use cases and operational practices. Attempting to deploy or circumvent these boundaries constitutes gross professional misconduct:</w:t>
      </w:r>
    </w:p>
    <w:tbl>
      <w:tblPr>
        <w:tblW w:w="0" w:type="auto"/>
        <w:jc w:val="center"/>
        <w:tblLook w:val="04A0" w:firstRow="1" w:lastRow="0" w:firstColumn="1" w:lastColumn="0" w:noHBand="0" w:noVBand="1"/>
      </w:tblPr>
      <w:tblGrid>
        <w:gridCol w:w="4968"/>
        <w:gridCol w:w="4968"/>
      </w:tblGrid>
      <w:tr w:rsidR="000E1D8C" w14:paraId="2376F43E"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9C0006"/>
            <w:tcMar>
              <w:top w:w="120" w:type="dxa"/>
              <w:left w:w="160" w:type="dxa"/>
              <w:bottom w:w="120" w:type="dxa"/>
              <w:right w:w="160" w:type="dxa"/>
            </w:tcMar>
          </w:tcPr>
          <w:p w14:paraId="3DA2AEDE" w14:textId="77777777" w:rsidR="000E1D8C" w:rsidRDefault="00000000">
            <w:pPr>
              <w:jc w:val="center"/>
            </w:pPr>
            <w:r>
              <w:rPr>
                <w:rFonts w:ascii="Calibri" w:hAnsi="Calibri"/>
                <w:b/>
                <w:color w:val="FFFFFF"/>
                <w:sz w:val="19"/>
              </w:rPr>
              <w:lastRenderedPageBreak/>
              <w:t>Prohibited AI Practice</w:t>
            </w:r>
          </w:p>
        </w:tc>
        <w:tc>
          <w:tcPr>
            <w:tcW w:w="4968" w:type="dxa"/>
            <w:tcBorders>
              <w:top w:val="single" w:sz="4" w:space="0" w:color="BFBFBF"/>
              <w:left w:val="single" w:sz="4" w:space="0" w:color="BFBFBF"/>
              <w:bottom w:val="single" w:sz="4" w:space="0" w:color="BFBFBF"/>
              <w:right w:val="single" w:sz="4" w:space="0" w:color="BFBFBF"/>
            </w:tcBorders>
            <w:shd w:val="clear" w:color="auto" w:fill="9C0006"/>
            <w:tcMar>
              <w:top w:w="120" w:type="dxa"/>
              <w:left w:w="160" w:type="dxa"/>
              <w:bottom w:w="120" w:type="dxa"/>
              <w:right w:w="160" w:type="dxa"/>
            </w:tcMar>
          </w:tcPr>
          <w:p w14:paraId="251B4D73" w14:textId="77777777" w:rsidR="000E1D8C" w:rsidRDefault="00000000">
            <w:r>
              <w:rPr>
                <w:rFonts w:ascii="Calibri" w:hAnsi="Calibri"/>
                <w:b/>
                <w:color w:val="FFFFFF"/>
                <w:sz w:val="19"/>
              </w:rPr>
              <w:t>Regulatory Context &amp; Operational Restriction</w:t>
            </w:r>
          </w:p>
        </w:tc>
      </w:tr>
      <w:tr w:rsidR="000E1D8C" w14:paraId="7637AD4F"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2584C298" w14:textId="77777777" w:rsidR="000E1D8C" w:rsidRDefault="00000000">
            <w:pPr>
              <w:jc w:val="center"/>
            </w:pPr>
            <w:r>
              <w:rPr>
                <w:rFonts w:ascii="Calibri" w:hAnsi="Calibri"/>
                <w:b/>
                <w:color w:val="9C0006"/>
                <w:sz w:val="18"/>
              </w:rPr>
              <w:t>Fully Autonomous Decisioning</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12A136A" w14:textId="77777777" w:rsidR="000E1D8C" w:rsidRDefault="00000000">
            <w:r>
              <w:rPr>
                <w:rFonts w:ascii="Calibri" w:hAnsi="Calibri"/>
                <w:color w:val="000000"/>
                <w:sz w:val="18"/>
              </w:rPr>
              <w:t>Deploying AI systems to make irreversible, high-impact credit or financial decisions affecting natural persons without substantive human review (Article 22 breach). Use case UC-002 was permanently rejected on this basis.</w:t>
            </w:r>
          </w:p>
        </w:tc>
      </w:tr>
      <w:tr w:rsidR="000E1D8C" w14:paraId="21E47F2E"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5100ADCE" w14:textId="77777777" w:rsidR="000E1D8C" w:rsidRDefault="00000000">
            <w:pPr>
              <w:jc w:val="center"/>
            </w:pPr>
            <w:r>
              <w:rPr>
                <w:rFonts w:ascii="Calibri" w:hAnsi="Calibri"/>
                <w:b/>
                <w:color w:val="9C0006"/>
                <w:sz w:val="18"/>
              </w:rPr>
              <w:t>Proxy &amp; Sensitive Attribute Inference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218864A" w14:textId="77777777" w:rsidR="000E1D8C" w:rsidRDefault="00000000">
            <w:r>
              <w:rPr>
                <w:rFonts w:ascii="Calibri" w:hAnsi="Calibri"/>
                <w:color w:val="000000"/>
                <w:sz w:val="18"/>
              </w:rPr>
              <w:t>Engineering models or prompts to infer protected characteristics (e.g., race, religion, sexual orientation, disability) or demographic proxies (e.g., residential postal district) that were not lawfully supplied.</w:t>
            </w:r>
          </w:p>
        </w:tc>
      </w:tr>
      <w:tr w:rsidR="000E1D8C" w14:paraId="2D9FF7DA"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55EFC753" w14:textId="77777777" w:rsidR="000E1D8C" w:rsidRDefault="00000000">
            <w:pPr>
              <w:jc w:val="center"/>
            </w:pPr>
            <w:r>
              <w:rPr>
                <w:rFonts w:ascii="Calibri" w:hAnsi="Calibri"/>
                <w:b/>
                <w:color w:val="9C0006"/>
                <w:sz w:val="18"/>
              </w:rPr>
              <w:t>Unapproved Special Category Data Training</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ABE9D28" w14:textId="77777777" w:rsidR="000E1D8C" w:rsidRDefault="00000000">
            <w:r>
              <w:rPr>
                <w:rFonts w:ascii="Calibri" w:hAnsi="Calibri"/>
                <w:color w:val="000000"/>
                <w:sz w:val="18"/>
              </w:rPr>
              <w:t>Training or fine-tuning foundation models or scoring algorithms on sensitive personal information or special category data under GDPR / PDPA without explicit DPO sign-off and a formal DPIA.</w:t>
            </w:r>
          </w:p>
        </w:tc>
      </w:tr>
      <w:tr w:rsidR="000E1D8C" w14:paraId="3519D75D"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6CF42462" w14:textId="77777777" w:rsidR="000E1D8C" w:rsidRDefault="00000000">
            <w:pPr>
              <w:jc w:val="center"/>
            </w:pPr>
            <w:r>
              <w:rPr>
                <w:rFonts w:ascii="Calibri" w:hAnsi="Calibri"/>
                <w:b/>
                <w:color w:val="9C0006"/>
                <w:sz w:val="18"/>
              </w:rPr>
              <w:t>Ungoverned Third-Party Model Ingestion</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D24BAA9" w14:textId="77777777" w:rsidR="000E1D8C" w:rsidRDefault="00000000">
            <w:r>
              <w:rPr>
                <w:rFonts w:ascii="Calibri" w:hAnsi="Calibri"/>
                <w:color w:val="000000"/>
                <w:sz w:val="18"/>
              </w:rPr>
              <w:t>Procuring, integrating, or routing customer data to external AI models or foundation model APIs without executing the Third-Party AI Vendor Due Diligence Checklist (A-17) and verifying local data residency.</w:t>
            </w:r>
          </w:p>
        </w:tc>
      </w:tr>
      <w:tr w:rsidR="000E1D8C" w14:paraId="7FCC22F3"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3B67C8E7" w14:textId="77777777" w:rsidR="000E1D8C" w:rsidRDefault="00000000">
            <w:pPr>
              <w:jc w:val="center"/>
            </w:pPr>
            <w:r>
              <w:rPr>
                <w:rFonts w:ascii="Calibri" w:hAnsi="Calibri"/>
                <w:b/>
                <w:color w:val="9C0006"/>
                <w:sz w:val="18"/>
              </w:rPr>
              <w:t>Misleading AI-Generated Customer Communications</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7930FA6" w14:textId="77777777" w:rsidR="000E1D8C" w:rsidRDefault="00000000">
            <w:r>
              <w:rPr>
                <w:rFonts w:ascii="Calibri" w:hAnsi="Calibri"/>
                <w:color w:val="000000"/>
                <w:sz w:val="18"/>
              </w:rPr>
              <w:t>Deploying generative AI systems to produce false, deceptive, or hallucinated credit terms, interest rates, or statutory notices presented to customers as human-authored or legally finalized communications.</w:t>
            </w:r>
          </w:p>
        </w:tc>
      </w:tr>
      <w:tr w:rsidR="000E1D8C" w14:paraId="0969297E"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5565C7B3" w14:textId="77777777" w:rsidR="000E1D8C" w:rsidRDefault="00000000">
            <w:pPr>
              <w:jc w:val="center"/>
            </w:pPr>
            <w:r>
              <w:rPr>
                <w:rFonts w:ascii="Calibri" w:hAnsi="Calibri"/>
                <w:b/>
                <w:color w:val="9C0006"/>
                <w:sz w:val="18"/>
              </w:rPr>
              <w:t>Covert Employee Surveillance &amp; Telemetry Misuse</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CAB0EF2" w14:textId="77777777" w:rsidR="000E1D8C" w:rsidRDefault="00000000">
            <w:r>
              <w:rPr>
                <w:rFonts w:ascii="Calibri" w:hAnsi="Calibri"/>
                <w:color w:val="000000"/>
                <w:sz w:val="18"/>
              </w:rPr>
              <w:t>Utilizing underwriter review duration tracking or AI interaction telemetry for covert surveillance, disciplinary ranking, or monitoring personal employee behavior outside approved operational risk band management.</w:t>
            </w:r>
          </w:p>
        </w:tc>
      </w:tr>
      <w:tr w:rsidR="000E1D8C" w14:paraId="25E61A98" w14:textId="77777777">
        <w:trPr>
          <w:jc w:val="center"/>
        </w:trPr>
        <w:tc>
          <w:tcPr>
            <w:tcW w:w="4968" w:type="dxa"/>
            <w:tcBorders>
              <w:top w:val="single" w:sz="4" w:space="0" w:color="BFBFBF"/>
              <w:left w:val="single" w:sz="4" w:space="0" w:color="BFBFBF"/>
              <w:bottom w:val="single" w:sz="4" w:space="0" w:color="BFBFBF"/>
              <w:right w:val="single" w:sz="4" w:space="0" w:color="BFBFBF"/>
            </w:tcBorders>
            <w:shd w:val="clear" w:color="auto" w:fill="FCE4D6"/>
            <w:tcMar>
              <w:top w:w="120" w:type="dxa"/>
              <w:left w:w="160" w:type="dxa"/>
              <w:bottom w:w="120" w:type="dxa"/>
              <w:right w:w="160" w:type="dxa"/>
            </w:tcMar>
          </w:tcPr>
          <w:p w14:paraId="22697681" w14:textId="77777777" w:rsidR="000E1D8C" w:rsidRDefault="00000000">
            <w:pPr>
              <w:jc w:val="center"/>
            </w:pPr>
            <w:r>
              <w:rPr>
                <w:rFonts w:ascii="Calibri" w:hAnsi="Calibri"/>
                <w:b/>
                <w:color w:val="9C0006"/>
                <w:sz w:val="18"/>
              </w:rPr>
              <w:t>Unexplainable Black-Box Deployment</w:t>
            </w:r>
          </w:p>
        </w:tc>
        <w:tc>
          <w:tcPr>
            <w:tcW w:w="4968"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2F40163" w14:textId="77777777" w:rsidR="000E1D8C" w:rsidRDefault="00000000">
            <w:r>
              <w:rPr>
                <w:rFonts w:ascii="Calibri" w:hAnsi="Calibri"/>
                <w:color w:val="000000"/>
                <w:sz w:val="18"/>
              </w:rPr>
              <w:t>Deploying models in high-risk credit underwriting where the mathematical attribution of the score cannot be evidenced via exact TreeSHAP values or where citations cannot resolve to source policy.</w:t>
            </w:r>
          </w:p>
        </w:tc>
      </w:tr>
    </w:tbl>
    <w:p w14:paraId="0796F4B7" w14:textId="77777777" w:rsidR="000E1D8C" w:rsidRDefault="000E1D8C"/>
    <w:p w14:paraId="4536CC7F" w14:textId="77777777" w:rsidR="000E1D8C" w:rsidRDefault="00000000">
      <w:pPr>
        <w:spacing w:after="80"/>
      </w:pPr>
      <w:r>
        <w:rPr>
          <w:rFonts w:ascii="Calibri" w:hAnsi="Calibri"/>
          <w:b/>
          <w:color w:val="1F3864"/>
          <w:sz w:val="28"/>
        </w:rPr>
        <w:t>6. Governance Responsibilities, Mandatory Literacy, and Whistleblowing</w:t>
      </w:r>
    </w:p>
    <w:p w14:paraId="625010EE" w14:textId="77777777" w:rsidR="000E1D8C" w:rsidRDefault="00000000">
      <w:pPr>
        <w:spacing w:after="40"/>
      </w:pPr>
      <w:r>
        <w:rPr>
          <w:rFonts w:ascii="Calibri" w:hAnsi="Calibri"/>
          <w:b/>
          <w:color w:val="1F3864"/>
        </w:rPr>
        <w:t>6.1. Mandatory AI Literacy and Competency Training (EU AI Act Art. 4)</w:t>
      </w:r>
    </w:p>
    <w:p w14:paraId="34A670C6" w14:textId="77777777" w:rsidR="000E1D8C" w:rsidRDefault="00000000">
      <w:pPr>
        <w:spacing w:after="80"/>
      </w:pPr>
      <w:r>
        <w:rPr>
          <w:rFonts w:ascii="Calibri" w:hAnsi="Calibri"/>
          <w:sz w:val="19"/>
        </w:rPr>
        <w:t>All employees, underwriters, data scientists, and risk officers interacting with the Credit Decisioning Assistant must complete mandatory AI Ethics and Responsible Use training within 30 days of onboarding and annually thereafter. Completion records, competency assessments, and underwriter four-check certifications are formally tracked in the AI Literacy and Competency Record (A-38).</w:t>
      </w:r>
    </w:p>
    <w:p w14:paraId="70412E7F" w14:textId="77777777" w:rsidR="000E1D8C" w:rsidRDefault="00000000">
      <w:pPr>
        <w:spacing w:after="40"/>
      </w:pPr>
      <w:r>
        <w:rPr>
          <w:rFonts w:ascii="Calibri" w:hAnsi="Calibri"/>
          <w:b/>
          <w:color w:val="9C0006"/>
        </w:rPr>
        <w:lastRenderedPageBreak/>
        <w:t>6.2. 24-Hour Ethics &amp; Model Risk Incident Reporting SLA</w:t>
      </w:r>
    </w:p>
    <w:p w14:paraId="0FA1C4C9" w14:textId="77777777" w:rsidR="000E1D8C" w:rsidRDefault="00000000">
      <w:pPr>
        <w:spacing w:after="80"/>
      </w:pPr>
      <w:r>
        <w:rPr>
          <w:rFonts w:ascii="Calibri" w:hAnsi="Calibri"/>
          <w:sz w:val="19"/>
        </w:rPr>
        <w:t>Any confirmed or suspected ethical failure—including algorithmic bias disparity breaches (DIR &lt; 0.80), hallucinated legal citations reaching applicants, PII data leaks, or un-guardrailed model invocations—must be reported to the Model Risk Lead, CISO, and AI Governance Lead within 24 hours of discovery. Reporting initiates immediate Level 3/Level 4 incident triage under the AI Incident Response Playbook (A-32).</w:t>
      </w:r>
    </w:p>
    <w:p w14:paraId="4C07163B" w14:textId="77777777" w:rsidR="000E1D8C" w:rsidRDefault="00000000">
      <w:pPr>
        <w:spacing w:after="40"/>
      </w:pPr>
      <w:r>
        <w:rPr>
          <w:rFonts w:ascii="Calibri" w:hAnsi="Calibri"/>
          <w:b/>
          <w:color w:val="1F3864"/>
        </w:rPr>
        <w:t>6.3. Non-Retaliation and Whistleblower Protection</w:t>
      </w:r>
    </w:p>
    <w:p w14:paraId="46ECACA6" w14:textId="77777777" w:rsidR="000E1D8C" w:rsidRDefault="00000000">
      <w:r>
        <w:rPr>
          <w:rFonts w:ascii="Calibri" w:hAnsi="Calibri"/>
          <w:sz w:val="19"/>
        </w:rPr>
        <w:t>Any staff member may raise an ethical concern regarding AI system design, feature selection, or outcome fairness directly to the AI Governance Lead or via the confidential enterprise Whistleblowing Channel, without requiring authorization from their line manager. The organisation maintains an absolute non-retaliation policy for good-faith disclosures. No adverse professional consequence follows from raising a concern that investigation proves to be unfounded. A governance framework where personnel fear being wrong learns nothing.</w:t>
      </w:r>
    </w:p>
    <w:p w14:paraId="00A846A2" w14:textId="77777777" w:rsidR="000E1D8C" w:rsidRDefault="00000000">
      <w:pPr>
        <w:spacing w:after="80"/>
      </w:pPr>
      <w:r>
        <w:rPr>
          <w:rFonts w:ascii="Calibri" w:hAnsi="Calibri"/>
          <w:b/>
          <w:color w:val="1F3864"/>
          <w:sz w:val="28"/>
        </w:rPr>
        <w:t>7. Consequences of Non-Compliance &amp; Policy Enforcement</w:t>
      </w:r>
    </w:p>
    <w:p w14:paraId="52AA5EA9" w14:textId="77777777" w:rsidR="000E1D8C" w:rsidRDefault="00000000">
      <w:pPr>
        <w:spacing w:after="80"/>
      </w:pPr>
      <w:r>
        <w:rPr>
          <w:rFonts w:ascii="Calibri" w:hAnsi="Calibri"/>
          <w:sz w:val="20"/>
        </w:rPr>
        <w:t>Compliance with this Policy is mandatory across all business units, engineering teams, and third-party partners. Non-compliance results in immediate enforcement:</w:t>
      </w:r>
    </w:p>
    <w:p w14:paraId="6CFE60DF" w14:textId="77777777" w:rsidR="000E1D8C" w:rsidRDefault="00000000">
      <w:pPr>
        <w:spacing w:after="60"/>
      </w:pPr>
      <w:r>
        <w:rPr>
          <w:rFonts w:ascii="Calibri" w:hAnsi="Calibri"/>
          <w:b/>
          <w:color w:val="1F3864"/>
          <w:sz w:val="19"/>
        </w:rPr>
        <w:t xml:space="preserve">• Internal Personnel: </w:t>
      </w:r>
      <w:r>
        <w:rPr>
          <w:rFonts w:ascii="Calibri" w:hAnsi="Calibri"/>
          <w:sz w:val="19"/>
        </w:rPr>
        <w:t>Intentional circumvention of ethics controls, disabling of safety guardrails, or unauthorized deployment of unvetted models constitutes gross misconduct, resulting in formal disciplinary proceedings up to and including termination of employment.</w:t>
      </w:r>
    </w:p>
    <w:p w14:paraId="75D72A64" w14:textId="77777777" w:rsidR="000E1D8C" w:rsidRDefault="00000000">
      <w:pPr>
        <w:spacing w:after="60"/>
      </w:pPr>
      <w:r>
        <w:rPr>
          <w:rFonts w:ascii="Calibri" w:hAnsi="Calibri"/>
          <w:b/>
          <w:color w:val="1F3864"/>
          <w:sz w:val="19"/>
        </w:rPr>
        <w:t xml:space="preserve">• Contractors &amp; Consultants: </w:t>
      </w:r>
      <w:r>
        <w:rPr>
          <w:rFonts w:ascii="Calibri" w:hAnsi="Calibri"/>
          <w:sz w:val="19"/>
        </w:rPr>
        <w:t>Failure to adhere to responsible AI controls results in immediate contract suspension, termination of commercial engagement, and potential referral to professional regulatory bodies.</w:t>
      </w:r>
    </w:p>
    <w:p w14:paraId="5A82475F" w14:textId="77777777" w:rsidR="000E1D8C" w:rsidRDefault="00000000">
      <w:pPr>
        <w:spacing w:after="60"/>
      </w:pPr>
      <w:r>
        <w:rPr>
          <w:rFonts w:ascii="Calibri" w:hAnsi="Calibri"/>
          <w:b/>
          <w:color w:val="1F3864"/>
          <w:sz w:val="19"/>
        </w:rPr>
        <w:t xml:space="preserve">• Third-Party Vendors: </w:t>
      </w:r>
      <w:r>
        <w:rPr>
          <w:rFonts w:ascii="Calibri" w:hAnsi="Calibri"/>
          <w:sz w:val="19"/>
        </w:rPr>
        <w:t>Breach of ethical data handling, unauthorized model re-training on bank data, or failure to meet residency covenants triggers immediate contract default, vendor offboarding, and legal remediation under Enterprise Service Level Agreements.</w:t>
      </w:r>
    </w:p>
    <w:p w14:paraId="52F8E9E4" w14:textId="77777777" w:rsidR="000E1D8C" w:rsidRDefault="000E1D8C">
      <w:pPr>
        <w:spacing w:after="160"/>
      </w:pPr>
    </w:p>
    <w:p w14:paraId="3231BCA0" w14:textId="77777777" w:rsidR="000E1D8C" w:rsidRDefault="00000000">
      <w:pPr>
        <w:spacing w:after="80"/>
      </w:pPr>
      <w:r>
        <w:rPr>
          <w:rFonts w:ascii="Calibri" w:hAnsi="Calibri"/>
          <w:b/>
          <w:color w:val="1F3864"/>
          <w:sz w:val="28"/>
        </w:rPr>
        <w:t>8. Review Cadence and Ratification</w:t>
      </w:r>
    </w:p>
    <w:p w14:paraId="391E1613" w14:textId="77777777" w:rsidR="000E1D8C" w:rsidRDefault="00000000">
      <w:pPr>
        <w:spacing w:after="240"/>
      </w:pPr>
      <w:r>
        <w:rPr>
          <w:rFonts w:ascii="Calibri" w:hAnsi="Calibri"/>
          <w:sz w:val="20"/>
        </w:rPr>
        <w:t>This Policy is subject to formal review annually, and immediately upon the occurrence of: (a) any material amendment to the EU AI Act, MAS FEAT, or GDPR Article 22 regulatory frameworks, (b) any breach of a zero-appetite fairness or data privacy tolerance threshold in production, or (c) the introduction of a new foundation model architecture or expanded underwriting use case. Because the ethical commitments in Section 3 legally and operationally constrain what systems the bank may build, amendments require unanimous approval by the AI Governance Committee with formal ratification by the Executive Committee (ExCo).</w:t>
      </w:r>
    </w:p>
    <w:sectPr w:rsidR="000E1D8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137891">
    <w:abstractNumId w:val="8"/>
  </w:num>
  <w:num w:numId="2" w16cid:durableId="1370642098">
    <w:abstractNumId w:val="6"/>
  </w:num>
  <w:num w:numId="3" w16cid:durableId="1468011950">
    <w:abstractNumId w:val="5"/>
  </w:num>
  <w:num w:numId="4" w16cid:durableId="1979410027">
    <w:abstractNumId w:val="4"/>
  </w:num>
  <w:num w:numId="5" w16cid:durableId="122893912">
    <w:abstractNumId w:val="7"/>
  </w:num>
  <w:num w:numId="6" w16cid:durableId="770854705">
    <w:abstractNumId w:val="3"/>
  </w:num>
  <w:num w:numId="7" w16cid:durableId="581984131">
    <w:abstractNumId w:val="2"/>
  </w:num>
  <w:num w:numId="8" w16cid:durableId="1911840860">
    <w:abstractNumId w:val="1"/>
  </w:num>
  <w:num w:numId="9" w16cid:durableId="1254703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D8C"/>
    <w:rsid w:val="0015074B"/>
    <w:rsid w:val="0029639D"/>
    <w:rsid w:val="00302977"/>
    <w:rsid w:val="00326F90"/>
    <w:rsid w:val="00AA1D8D"/>
    <w:rsid w:val="00B47730"/>
    <w:rsid w:val="00C33DF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5CC2FB"/>
  <w14:defaultImageDpi w14:val="300"/>
  <w15:docId w15:val="{17847C65-70D5-47BB-A5E4-9A83CB6FB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2095</Words>
  <Characters>11943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Rity Shree</cp:lastModifiedBy>
  <cp:revision>3</cp:revision>
  <dcterms:created xsi:type="dcterms:W3CDTF">2013-12-23T23:15:00Z</dcterms:created>
  <dcterms:modified xsi:type="dcterms:W3CDTF">2026-09-14T12:57:00Z</dcterms:modified>
  <cp:category/>
</cp:coreProperties>
</file>